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附件1：</w:t>
      </w: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</w:p>
    <w:p>
      <w:pPr>
        <w:spacing w:line="42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/>
          <w:b/>
          <w:bCs/>
          <w:sz w:val="36"/>
        </w:rPr>
        <w:t>中国石</w:t>
      </w:r>
      <w:bookmarkStart w:id="0" w:name="_GoBack"/>
      <w:bookmarkEnd w:id="0"/>
      <w:r>
        <w:rPr>
          <w:rFonts w:hint="eastAsia" w:ascii="宋体"/>
          <w:b/>
          <w:bCs/>
          <w:sz w:val="36"/>
        </w:rPr>
        <w:t>油和化工行业技术创新示范企业认定管理办法</w:t>
      </w:r>
    </w:p>
    <w:p>
      <w:pPr>
        <w:spacing w:line="42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/>
          <w:b/>
          <w:bCs/>
          <w:sz w:val="36"/>
        </w:rPr>
        <w:t>（2021年修订）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第一章  总则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第一条</w:t>
      </w:r>
      <w:r>
        <w:rPr>
          <w:rFonts w:hint="eastAsia" w:ascii="仿宋_GB2312" w:eastAsia="仿宋_GB2312"/>
          <w:sz w:val="28"/>
        </w:rPr>
        <w:t xml:space="preserve">  为深入贯彻落实国家关于建设创新型国家的战略部署，鼓励开展原始创新、集成创新和引进消化吸收再创新，促进和完善以企业为主体、市场为导向、产学研用相结合的技术创新体系建设，特制订本办法。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第二条</w:t>
      </w:r>
      <w:r>
        <w:rPr>
          <w:rFonts w:hint="eastAsia" w:ascii="仿宋_GB2312" w:eastAsia="仿宋_GB2312"/>
          <w:sz w:val="28"/>
        </w:rPr>
        <w:t xml:space="preserve">  技术创新示范企业（以下简称示范企业）是指在石油和化学工业相关产业或领域中技术创新能力较强、创新业绩显著、具有重要示范和导向作用的企业。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第三条</w:t>
      </w:r>
      <w:r>
        <w:rPr>
          <w:rFonts w:hint="eastAsia" w:ascii="仿宋_GB2312" w:eastAsia="仿宋_GB2312"/>
          <w:sz w:val="28"/>
        </w:rPr>
        <w:t xml:space="preserve">  示范企业认定工作遵循公平、公正、公开原则，统筹规划，合理配置资源，规范、有序推进。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pacing w:val="-6"/>
          <w:sz w:val="28"/>
        </w:rPr>
      </w:pPr>
      <w:r>
        <w:rPr>
          <w:rFonts w:hint="eastAsia" w:ascii="黑体" w:eastAsia="黑体"/>
          <w:sz w:val="28"/>
        </w:rPr>
        <w:t>第四条</w:t>
      </w:r>
      <w:r>
        <w:rPr>
          <w:rFonts w:hint="eastAsia" w:ascii="仿宋_GB2312" w:eastAsia="仿宋_GB2312"/>
          <w:sz w:val="28"/>
        </w:rPr>
        <w:t xml:space="preserve">  中</w:t>
      </w:r>
      <w:r>
        <w:rPr>
          <w:rFonts w:hint="eastAsia" w:ascii="仿宋_GB2312" w:eastAsia="仿宋_GB2312"/>
          <w:spacing w:val="-6"/>
          <w:sz w:val="28"/>
        </w:rPr>
        <w:t>国石油和化学工业联合会负责示范企业认定的相关管理工作。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第二章  认定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第五条</w:t>
      </w:r>
      <w:r>
        <w:rPr>
          <w:rFonts w:hint="eastAsia" w:ascii="仿宋_GB2312" w:eastAsia="仿宋_GB2312"/>
          <w:sz w:val="28"/>
        </w:rPr>
        <w:t xml:space="preserve">  示范企业的认定每年组织一次。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第六条</w:t>
      </w:r>
      <w:r>
        <w:rPr>
          <w:rFonts w:hint="eastAsia" w:ascii="仿宋_GB2312" w:eastAsia="仿宋_GB2312"/>
          <w:sz w:val="28"/>
        </w:rPr>
        <w:t xml:space="preserve">  申报示范企业的基本条件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（一）具有独立法人资格，</w:t>
      </w:r>
      <w:r>
        <w:rPr>
          <w:rFonts w:hint="eastAsia" w:ascii="仿宋" w:hAnsi="仿宋" w:eastAsia="仿宋"/>
          <w:sz w:val="30"/>
          <w:szCs w:val="30"/>
        </w:rPr>
        <w:t>财务管理制度健全，会计信用、纳税信用和银行信用良好；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（二）在国内建有生产、科研基地的国有、合资（中方控股）、民营等各种所有制的企业；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（三）技术创新成果通过实施技术改造，取得了较显著的成效；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（四）三年内没有发生重大安全、环境事故；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（五）具有一定的生产经营规模，从业人员200人以上，年销售收入5000万元以上，资产总额5000万元以上。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b/>
          <w:sz w:val="28"/>
        </w:rPr>
      </w:pPr>
      <w:r>
        <w:rPr>
          <w:rFonts w:hint="eastAsia" w:ascii="黑体" w:eastAsia="黑体"/>
          <w:sz w:val="28"/>
        </w:rPr>
        <w:t>第七条</w:t>
      </w:r>
      <w:r>
        <w:rPr>
          <w:rFonts w:hint="eastAsia" w:ascii="仿宋_GB2312" w:eastAsia="仿宋_GB2312"/>
          <w:sz w:val="28"/>
        </w:rPr>
        <w:t xml:space="preserve">  认定标准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（一）企业经济效益好、资产负债率适中、产品结构合理。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（二）具有核心竞争能力、技术领先地位并具有自主知识产权，整体技术水平在同行业居于领先地位。积极主导或参与国家或行业技术标准的制定工作。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（三）具有较强的技术创新能力和研发投入。企业研发投入占销售收入比例2%以上，有健全的研发机构或与国内外大学、科研机构建立了长期稳定的合作关系。重视科技人员和高技能人才的培养、引进和使用。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（四）具有行业带动作用性和自主品牌。在行业发展中具有较强的带动性和带动潜力。注重自主品牌的管理和创新，通过竞争发展，形成了企业独特的品牌，并在市场中享有一定知名度。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（五）具有较强的盈利能力和较高的管理水平。企业近3年连续盈利，整体财务状况良好。建立了比较完善的知识产权管理体系和质量保证体系。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（六）具有较强应用技术能力。积极实施技术改造，具有重大科技成果的转化能力，节能减排降耗具有较强示范作用。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z w:val="28"/>
        </w:rPr>
        <w:t>（七）具有</w:t>
      </w:r>
      <w:r>
        <w:rPr>
          <w:rFonts w:hint="eastAsia" w:ascii="仿宋_GB2312" w:eastAsia="仿宋_GB2312"/>
          <w:spacing w:val="-4"/>
          <w:sz w:val="28"/>
        </w:rPr>
        <w:t>明确的创新发展战略和创新文化。重视企业经营发展战略创新，努力营造并形成企业的创新文化，把技术创新和自主品牌作为经营发展战略的重要内容。</w:t>
      </w:r>
    </w:p>
    <w:p>
      <w:pPr>
        <w:adjustRightInd w:val="0"/>
        <w:snapToGrid w:val="0"/>
        <w:ind w:firstLine="544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pacing w:val="-4"/>
          <w:sz w:val="28"/>
        </w:rPr>
        <w:t>（八）关于关联公司申报问题。若关联</w:t>
      </w:r>
      <w:r>
        <w:rPr>
          <w:rFonts w:hint="eastAsia" w:ascii="仿宋_GB2312" w:hAnsi="宋体" w:eastAsia="仿宋_GB2312"/>
          <w:sz w:val="30"/>
          <w:szCs w:val="30"/>
        </w:rPr>
        <w:t>公司已获技术创新示范企业认定，申报单位需具备独立的研发机构、生产产品应与已获技术创新示范企业认定的关联公司有较大的差异。否则不予认定。</w:t>
      </w:r>
    </w:p>
    <w:p>
      <w:pPr>
        <w:adjustRightInd w:val="0"/>
        <w:snapToGrid w:val="0"/>
        <w:ind w:firstLine="522" w:firstLineChars="192"/>
        <w:rPr>
          <w:rFonts w:ascii="仿宋_GB2312" w:eastAsia="仿宋_GB2312"/>
          <w:spacing w:val="-4"/>
          <w:sz w:val="28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第三章  工作程序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第八条</w:t>
      </w:r>
      <w:r>
        <w:rPr>
          <w:rFonts w:hint="eastAsia" w:ascii="仿宋_GB2312" w:eastAsia="仿宋_GB2312"/>
          <w:sz w:val="28"/>
        </w:rPr>
        <w:t xml:space="preserve">  认定组织机构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（一）成立认定领导小组，由中国石油和化学工业联合会（以下简称“联合会”）主管领导任组长，有关部门负责同志任组员。负责认定办法的颁布、认定专家的聘任、批准示范企业的认定等。</w:t>
      </w:r>
    </w:p>
    <w:p>
      <w:pPr>
        <w:adjustRightInd w:val="0"/>
        <w:snapToGrid w:val="0"/>
        <w:ind w:firstLine="522" w:firstLineChars="192"/>
        <w:rPr>
          <w:rFonts w:ascii="仿宋_GB2312" w:eastAsia="仿宋_GB2312"/>
          <w:spacing w:val="-10"/>
          <w:sz w:val="28"/>
        </w:rPr>
      </w:pPr>
      <w:r>
        <w:rPr>
          <w:rFonts w:hint="eastAsia" w:ascii="仿宋_GB2312" w:eastAsia="仿宋_GB2312"/>
          <w:spacing w:val="-4"/>
          <w:sz w:val="28"/>
        </w:rPr>
        <w:t>（二）设立认定办公室。</w:t>
      </w:r>
      <w:r>
        <w:rPr>
          <w:rFonts w:hint="eastAsia" w:ascii="仿宋_GB2312" w:eastAsia="仿宋_GB2312"/>
          <w:spacing w:val="-10"/>
          <w:sz w:val="28"/>
        </w:rPr>
        <w:t>认定办公室设在联合会科技与装备部，主任由联合会科技与装备部主任兼任。具体负责认定办法的制定，认定专家的推荐，认定活动的组织等。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（三）成立认定专家组，成员由认定办公室推荐，认定领导小组批准、聘任。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第九条</w:t>
      </w:r>
      <w:r>
        <w:rPr>
          <w:rFonts w:hint="eastAsia" w:ascii="仿宋_GB2312" w:eastAsia="仿宋_GB2312"/>
          <w:sz w:val="28"/>
        </w:rPr>
        <w:t xml:space="preserve">  认定申请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（一）符合申报条件的企业可直接向认定办公室申报。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（二）申报材料包括</w:t>
      </w: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仿宋_GB2312" w:eastAsia="仿宋_GB2312"/>
          <w:spacing w:val="-10"/>
          <w:sz w:val="28"/>
        </w:rPr>
      </w:pPr>
      <w:r>
        <w:rPr>
          <w:rFonts w:hint="eastAsia" w:ascii="仿宋_GB2312" w:eastAsia="仿宋_GB2312"/>
          <w:spacing w:val="-10"/>
          <w:sz w:val="28"/>
        </w:rPr>
        <w:t>《中国石油和化工行业技术创新示范企业申报书》（该申报书可从中国石油和化学工业联合会网站（</w:t>
      </w:r>
      <w:r>
        <w:rPr>
          <w:rFonts w:ascii="仿宋_GB2312" w:eastAsia="仿宋_GB2312"/>
          <w:spacing w:val="-10"/>
          <w:sz w:val="28"/>
        </w:rPr>
        <w:t>http://www.cpci</w:t>
      </w:r>
      <w:r>
        <w:rPr>
          <w:rFonts w:hint="eastAsia" w:ascii="仿宋_GB2312" w:eastAsia="仿宋_GB2312"/>
          <w:spacing w:val="-10"/>
          <w:sz w:val="28"/>
        </w:rPr>
        <w:t>f</w:t>
      </w:r>
      <w:r>
        <w:rPr>
          <w:rFonts w:ascii="仿宋_GB2312" w:eastAsia="仿宋_GB2312"/>
          <w:spacing w:val="-10"/>
          <w:sz w:val="28"/>
        </w:rPr>
        <w:t>.org.cn/cpcia-kjyzbb/#/</w:t>
      </w:r>
      <w:r>
        <w:rPr>
          <w:rFonts w:hint="eastAsia" w:ascii="仿宋_GB2312" w:eastAsia="仿宋_GB2312"/>
          <w:spacing w:val="-10"/>
          <w:sz w:val="28"/>
        </w:rPr>
        <w:t>的“</w:t>
      </w:r>
      <w:r>
        <w:rPr>
          <w:rFonts w:hint="eastAsia" w:ascii="仿宋" w:hAnsi="仿宋" w:eastAsia="仿宋" w:cs="宋体"/>
          <w:kern w:val="0"/>
          <w:sz w:val="30"/>
          <w:szCs w:val="30"/>
          <w:lang w:val="zh-CN"/>
        </w:rPr>
        <w:t>技术创新示范企业</w:t>
      </w:r>
      <w:r>
        <w:rPr>
          <w:rFonts w:hint="eastAsia" w:ascii="仿宋_GB2312" w:eastAsia="仿宋_GB2312"/>
          <w:spacing w:val="-10"/>
          <w:sz w:val="28"/>
        </w:rPr>
        <w:t>”下载）。</w:t>
      </w: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本办法第六条和第七条有关的其他证明材料。</w:t>
      </w: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上述申报材料要求一式两份以及申报书的电子版。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第十条</w:t>
      </w:r>
      <w:r>
        <w:rPr>
          <w:rFonts w:hint="eastAsia" w:ascii="仿宋_GB2312" w:eastAsia="仿宋_GB2312"/>
          <w:sz w:val="28"/>
        </w:rPr>
        <w:t xml:space="preserve">  认定程序</w:t>
      </w:r>
    </w:p>
    <w:p>
      <w:pPr>
        <w:pStyle w:val="3"/>
        <w:adjustRightInd w:val="0"/>
        <w:snapToGrid w:val="0"/>
        <w:spacing w:line="240" w:lineRule="auto"/>
        <w:rPr>
          <w:rFonts w:ascii="Times New Roman"/>
          <w:snapToGrid/>
        </w:rPr>
      </w:pPr>
      <w:r>
        <w:rPr>
          <w:rFonts w:hint="eastAsia" w:ascii="Times New Roman"/>
          <w:snapToGrid/>
        </w:rPr>
        <w:t>（一）形式审查。认定办公室对各企业申报材料进行形式审查，确定符合认定的企业名单。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（二）预评审。专家对每个企业的申报进行预评、打分。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（三）会议认定。由预评专家介绍企业技术创新工作情况和预评情况，然后专家组投票，确定认定企业建议名单。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（四）公示。认定办公室将认定企业名单在媒体上公示。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（五）批准。认定办公室将公示结果报领导小组审查，认定领导小组讨论最终确定认定企业名单。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第四章  示范企业管理</w:t>
      </w:r>
    </w:p>
    <w:p>
      <w:pPr>
        <w:pStyle w:val="4"/>
        <w:adjustRightInd w:val="0"/>
        <w:snapToGrid w:val="0"/>
        <w:spacing w:line="240" w:lineRule="auto"/>
        <w:rPr>
          <w:rFonts w:ascii="仿宋_GB2312" w:eastAsia="仿宋_GB2312"/>
          <w:kern w:val="32"/>
        </w:rPr>
      </w:pPr>
      <w:r>
        <w:rPr>
          <w:rFonts w:hint="eastAsia" w:ascii="黑体" w:eastAsia="黑体"/>
          <w:kern w:val="32"/>
        </w:rPr>
        <w:t>第十一条</w:t>
      </w:r>
      <w:r>
        <w:rPr>
          <w:rFonts w:hint="eastAsia" w:ascii="仿宋_GB2312" w:eastAsia="仿宋_GB2312"/>
          <w:b/>
        </w:rPr>
        <w:t xml:space="preserve">  </w:t>
      </w:r>
      <w:r>
        <w:rPr>
          <w:rFonts w:hint="eastAsia" w:ascii="仿宋_GB2312" w:eastAsia="仿宋_GB2312"/>
          <w:kern w:val="32"/>
        </w:rPr>
        <w:t>示范企业名录及发展情况将在国家石油化工网上公布。</w:t>
      </w:r>
    </w:p>
    <w:p>
      <w:pPr>
        <w:pStyle w:val="4"/>
        <w:adjustRightInd w:val="0"/>
        <w:snapToGrid w:val="0"/>
        <w:spacing w:line="240" w:lineRule="auto"/>
        <w:rPr>
          <w:rFonts w:ascii="仿宋_GB2312" w:eastAsia="仿宋_GB2312"/>
          <w:kern w:val="32"/>
        </w:rPr>
      </w:pPr>
      <w:r>
        <w:rPr>
          <w:rFonts w:hint="eastAsia" w:ascii="黑体" w:eastAsia="黑体"/>
          <w:kern w:val="32"/>
        </w:rPr>
        <w:t>第十二条</w:t>
      </w:r>
      <w:r>
        <w:rPr>
          <w:rFonts w:hint="eastAsia" w:ascii="仿宋_GB2312" w:eastAsia="仿宋_GB2312"/>
          <w:b/>
        </w:rPr>
        <w:t xml:space="preserve"> </w:t>
      </w:r>
      <w:r>
        <w:rPr>
          <w:rFonts w:hint="eastAsia" w:ascii="仿宋_GB2312" w:eastAsia="仿宋_GB2312"/>
          <w:kern w:val="32"/>
        </w:rPr>
        <w:t xml:space="preserve"> 联合会对示范企业实行动态管理，依据本办法每三年进行一次复审，对合格的示范企业予以确认，对不合格的撤销称号。</w:t>
      </w:r>
    </w:p>
    <w:p>
      <w:pPr>
        <w:pStyle w:val="4"/>
        <w:adjustRightInd w:val="0"/>
        <w:snapToGrid w:val="0"/>
        <w:spacing w:line="240" w:lineRule="auto"/>
        <w:rPr>
          <w:rFonts w:ascii="仿宋_GB2312" w:eastAsia="仿宋_GB2312"/>
          <w:b/>
        </w:rPr>
      </w:pPr>
      <w:r>
        <w:rPr>
          <w:rFonts w:hint="eastAsia" w:ascii="黑体" w:eastAsia="黑体"/>
          <w:kern w:val="32"/>
        </w:rPr>
        <w:t>第十三条</w:t>
      </w:r>
      <w:r>
        <w:rPr>
          <w:rFonts w:hint="eastAsia" w:ascii="仿宋_GB2312" w:eastAsia="仿宋_GB2312"/>
          <w:b/>
        </w:rPr>
        <w:t xml:space="preserve"> </w:t>
      </w:r>
      <w:r>
        <w:rPr>
          <w:rFonts w:hint="eastAsia" w:ascii="仿宋_GB2312" w:eastAsia="仿宋_GB2312"/>
          <w:kern w:val="32"/>
        </w:rPr>
        <w:t xml:space="preserve"> 对获得认定的企业，若发现申报材料不实，且有确凿证据证明不具备认定条件的，或发生重大安全环境事故的，由认定办公室提出撤销认定的意见，经认定领导小组批准，撤销认定并追回证书和证牌，同时在媒体上公布。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第五章  权利和义务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kern w:val="28"/>
          <w:sz w:val="28"/>
        </w:rPr>
      </w:pPr>
      <w:r>
        <w:rPr>
          <w:rFonts w:hint="eastAsia" w:ascii="黑体" w:eastAsia="黑体"/>
          <w:sz w:val="28"/>
        </w:rPr>
        <w:t>第十四条</w:t>
      </w:r>
      <w:r>
        <w:rPr>
          <w:rFonts w:hint="eastAsia" w:ascii="仿宋_GB2312" w:eastAsia="仿宋_GB2312"/>
          <w:b/>
          <w:kern w:val="28"/>
          <w:sz w:val="28"/>
        </w:rPr>
        <w:t xml:space="preserve">  </w:t>
      </w:r>
      <w:r>
        <w:rPr>
          <w:rFonts w:hint="eastAsia" w:ascii="仿宋_GB2312" w:eastAsia="仿宋_GB2312"/>
          <w:kern w:val="28"/>
          <w:sz w:val="28"/>
        </w:rPr>
        <w:t>享有的权利：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kern w:val="28"/>
          <w:sz w:val="28"/>
        </w:rPr>
      </w:pPr>
      <w:r>
        <w:rPr>
          <w:rFonts w:hint="eastAsia" w:ascii="仿宋_GB2312" w:eastAsia="仿宋_GB2312"/>
          <w:kern w:val="28"/>
          <w:sz w:val="28"/>
        </w:rPr>
        <w:t>（一）享有示范企业荣誉称号。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kern w:val="28"/>
          <w:sz w:val="28"/>
        </w:rPr>
      </w:pPr>
      <w:r>
        <w:rPr>
          <w:rFonts w:hint="eastAsia" w:ascii="仿宋_GB2312" w:eastAsia="仿宋_GB2312"/>
          <w:kern w:val="28"/>
          <w:sz w:val="28"/>
        </w:rPr>
        <w:t>（二）优先获取联合会提供的相关政策、信息、成果鉴定、奖励申报等服务。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kern w:val="28"/>
          <w:sz w:val="28"/>
        </w:rPr>
        <w:t>（三）在联合会组织的国家科技计</w:t>
      </w:r>
      <w:r>
        <w:rPr>
          <w:rFonts w:hint="eastAsia" w:ascii="仿宋_GB2312" w:eastAsia="仿宋_GB2312"/>
          <w:sz w:val="28"/>
        </w:rPr>
        <w:t>划项目中，优先得到推荐。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（四）在行业科技创新体系建设活动中，优先得到培育。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kern w:val="28"/>
          <w:sz w:val="28"/>
        </w:rPr>
      </w:pPr>
      <w:r>
        <w:rPr>
          <w:rFonts w:hint="eastAsia" w:ascii="黑体" w:eastAsia="黑体"/>
          <w:sz w:val="28"/>
        </w:rPr>
        <w:t>第十五条</w:t>
      </w:r>
      <w:r>
        <w:rPr>
          <w:rFonts w:hint="eastAsia" w:ascii="仿宋_GB2312" w:eastAsia="仿宋_GB2312"/>
          <w:b/>
          <w:kern w:val="28"/>
          <w:sz w:val="28"/>
        </w:rPr>
        <w:t xml:space="preserve"> </w:t>
      </w:r>
      <w:r>
        <w:rPr>
          <w:rFonts w:hint="eastAsia" w:ascii="仿宋_GB2312" w:eastAsia="仿宋_GB2312"/>
          <w:kern w:val="28"/>
          <w:sz w:val="28"/>
        </w:rPr>
        <w:t xml:space="preserve"> 承担的义务：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kern w:val="28"/>
          <w:sz w:val="28"/>
        </w:rPr>
      </w:pPr>
      <w:r>
        <w:rPr>
          <w:rFonts w:hint="eastAsia" w:ascii="仿宋_GB2312" w:eastAsia="仿宋_GB2312"/>
          <w:kern w:val="28"/>
          <w:sz w:val="28"/>
        </w:rPr>
        <w:t>（一）参加联合会组织的相关示范企业专题活动。</w:t>
      </w:r>
    </w:p>
    <w:p>
      <w:pPr>
        <w:pStyle w:val="3"/>
        <w:adjustRightInd w:val="0"/>
        <w:snapToGrid w:val="0"/>
        <w:spacing w:line="240" w:lineRule="auto"/>
        <w:rPr>
          <w:snapToGrid/>
          <w:kern w:val="28"/>
        </w:rPr>
      </w:pPr>
      <w:r>
        <w:rPr>
          <w:rFonts w:hint="eastAsia"/>
          <w:snapToGrid/>
          <w:kern w:val="28"/>
        </w:rPr>
        <w:t>（二）在有效期内每年要向认定办公室，书面报告企业在开展技术创新、新产品开发及高新技术产业化的工作情况；接受认定办公室的工作检查，以确保技术创新工作成效，并保持持续改进。</w:t>
      </w:r>
    </w:p>
    <w:p>
      <w:pPr>
        <w:pStyle w:val="2"/>
        <w:adjustRightInd w:val="0"/>
        <w:snapToGrid w:val="0"/>
        <w:spacing w:line="240" w:lineRule="auto"/>
      </w:pPr>
      <w:r>
        <w:rPr>
          <w:rFonts w:hint="eastAsia"/>
        </w:rPr>
        <w:t>（三）企业经营活动发生重大变化，导致不符合认定标准时，应及时向认定办公室提出撤消认定的申请。</w:t>
      </w:r>
    </w:p>
    <w:p>
      <w:pPr>
        <w:adjustRightInd w:val="0"/>
        <w:snapToGrid w:val="0"/>
        <w:ind w:firstLine="537" w:firstLineChars="19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（四）有效期满后，若需要继续认定，必须提出继续认定的申请，并按申报程序再行申报。</w:t>
      </w:r>
    </w:p>
    <w:p>
      <w:pPr>
        <w:adjustRightInd w:val="0"/>
        <w:snapToGrid w:val="0"/>
        <w:ind w:firstLine="548" w:firstLineChars="196"/>
        <w:rPr>
          <w:rFonts w:hint="eastAsia" w:ascii="仿宋_GB2312" w:eastAsia="仿宋_GB2312"/>
          <w:kern w:val="28"/>
          <w:sz w:val="28"/>
        </w:rPr>
      </w:pPr>
      <w:r>
        <w:rPr>
          <w:rFonts w:hint="eastAsia" w:ascii="黑体" w:eastAsia="黑体"/>
          <w:sz w:val="28"/>
        </w:rPr>
        <w:t>第十六条</w:t>
      </w:r>
      <w:r>
        <w:rPr>
          <w:rFonts w:hint="eastAsia" w:ascii="仿宋_GB2312" w:eastAsia="仿宋_GB2312"/>
          <w:b/>
          <w:bCs/>
          <w:kern w:val="28"/>
          <w:sz w:val="28"/>
        </w:rPr>
        <w:t xml:space="preserve">  </w:t>
      </w:r>
      <w:r>
        <w:rPr>
          <w:rFonts w:hint="eastAsia" w:ascii="仿宋_GB2312" w:eastAsia="仿宋_GB2312"/>
          <w:kern w:val="28"/>
          <w:sz w:val="28"/>
        </w:rPr>
        <w:t>本办法认定办公室负责解释。</w:t>
      </w:r>
    </w:p>
    <w:p>
      <w:pPr>
        <w:adjustRightInd w:val="0"/>
        <w:snapToGrid w:val="0"/>
        <w:ind w:firstLine="548" w:firstLineChars="196"/>
        <w:rPr>
          <w:rFonts w:hint="eastAsia"/>
          <w:lang w:val="en-US" w:eastAsia="zh-CN"/>
        </w:rPr>
      </w:pPr>
      <w:r>
        <w:rPr>
          <w:rFonts w:hint="eastAsia" w:ascii="黑体" w:eastAsia="黑体"/>
          <w:sz w:val="28"/>
        </w:rPr>
        <w:t>第十七条</w:t>
      </w:r>
      <w:r>
        <w:rPr>
          <w:rFonts w:hint="eastAsia" w:ascii="仿宋_GB2312" w:eastAsia="仿宋_GB2312"/>
          <w:b/>
          <w:bCs/>
          <w:kern w:val="28"/>
          <w:sz w:val="28"/>
        </w:rPr>
        <w:t xml:space="preserve">  </w:t>
      </w:r>
      <w:r>
        <w:rPr>
          <w:rFonts w:hint="eastAsia" w:ascii="仿宋_GB2312" w:eastAsia="仿宋_GB2312"/>
          <w:kern w:val="28"/>
          <w:sz w:val="28"/>
        </w:rPr>
        <w:t>本办法自公布之日起执行。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84FED"/>
    <w:multiLevelType w:val="multilevel"/>
    <w:tmpl w:val="3E784FED"/>
    <w:lvl w:ilvl="0" w:tentative="0">
      <w:start w:val="1"/>
      <w:numFmt w:val="decimal"/>
      <w:lvlText w:val="%1."/>
      <w:lvlJc w:val="left"/>
      <w:pPr>
        <w:ind w:left="1834" w:hanging="420"/>
      </w:pPr>
    </w:lvl>
    <w:lvl w:ilvl="1" w:tentative="0">
      <w:start w:val="1"/>
      <w:numFmt w:val="lowerLetter"/>
      <w:lvlText w:val="%2)"/>
      <w:lvlJc w:val="left"/>
      <w:pPr>
        <w:ind w:left="2254" w:hanging="420"/>
      </w:pPr>
    </w:lvl>
    <w:lvl w:ilvl="2" w:tentative="0">
      <w:start w:val="1"/>
      <w:numFmt w:val="lowerRoman"/>
      <w:lvlText w:val="%3."/>
      <w:lvlJc w:val="right"/>
      <w:pPr>
        <w:ind w:left="2674" w:hanging="420"/>
      </w:pPr>
    </w:lvl>
    <w:lvl w:ilvl="3" w:tentative="0">
      <w:start w:val="1"/>
      <w:numFmt w:val="decimal"/>
      <w:lvlText w:val="%4."/>
      <w:lvlJc w:val="left"/>
      <w:pPr>
        <w:ind w:left="3094" w:hanging="420"/>
      </w:pPr>
    </w:lvl>
    <w:lvl w:ilvl="4" w:tentative="0">
      <w:start w:val="1"/>
      <w:numFmt w:val="lowerLetter"/>
      <w:lvlText w:val="%5)"/>
      <w:lvlJc w:val="left"/>
      <w:pPr>
        <w:ind w:left="3514" w:hanging="420"/>
      </w:pPr>
    </w:lvl>
    <w:lvl w:ilvl="5" w:tentative="0">
      <w:start w:val="1"/>
      <w:numFmt w:val="lowerRoman"/>
      <w:lvlText w:val="%6."/>
      <w:lvlJc w:val="right"/>
      <w:pPr>
        <w:ind w:left="3934" w:hanging="420"/>
      </w:pPr>
    </w:lvl>
    <w:lvl w:ilvl="6" w:tentative="0">
      <w:start w:val="1"/>
      <w:numFmt w:val="decimal"/>
      <w:lvlText w:val="%7."/>
      <w:lvlJc w:val="left"/>
      <w:pPr>
        <w:ind w:left="4354" w:hanging="420"/>
      </w:pPr>
    </w:lvl>
    <w:lvl w:ilvl="7" w:tentative="0">
      <w:start w:val="1"/>
      <w:numFmt w:val="lowerLetter"/>
      <w:lvlText w:val="%8)"/>
      <w:lvlJc w:val="left"/>
      <w:pPr>
        <w:ind w:left="4774" w:hanging="420"/>
      </w:pPr>
    </w:lvl>
    <w:lvl w:ilvl="8" w:tentative="0">
      <w:start w:val="1"/>
      <w:numFmt w:val="lowerRoman"/>
      <w:lvlText w:val="%9."/>
      <w:lvlJc w:val="right"/>
      <w:pPr>
        <w:ind w:left="5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A5MDgwYTNmMTQ4ZTcxZmFmOWU1MmY2YzhhNTkifQ=="/>
    <w:docVar w:name="KSO_WPS_MARK_KEY" w:val="e323ab4e-0a9d-4f9a-9d53-75d048a18de7"/>
  </w:docVars>
  <w:rsids>
    <w:rsidRoot w:val="22A11A52"/>
    <w:rsid w:val="22A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420" w:lineRule="exact"/>
      <w:ind w:firstLine="538" w:firstLineChars="192"/>
    </w:pPr>
    <w:rPr>
      <w:rFonts w:ascii="仿宋_GB2312" w:eastAsia="仿宋_GB2312"/>
      <w:sz w:val="28"/>
    </w:rPr>
  </w:style>
  <w:style w:type="paragraph" w:styleId="3">
    <w:name w:val="Body Text Indent 2"/>
    <w:basedOn w:val="1"/>
    <w:semiHidden/>
    <w:qFormat/>
    <w:uiPriority w:val="0"/>
    <w:pPr>
      <w:spacing w:line="420" w:lineRule="exact"/>
      <w:ind w:firstLine="560" w:firstLineChars="200"/>
    </w:pPr>
    <w:rPr>
      <w:rFonts w:ascii="仿宋_GB2312" w:eastAsia="仿宋_GB2312"/>
      <w:snapToGrid w:val="0"/>
      <w:kern w:val="0"/>
      <w:sz w:val="28"/>
    </w:rPr>
  </w:style>
  <w:style w:type="paragraph" w:styleId="4">
    <w:name w:val="Body Text Indent 3"/>
    <w:basedOn w:val="1"/>
    <w:semiHidden/>
    <w:qFormat/>
    <w:uiPriority w:val="0"/>
    <w:pPr>
      <w:spacing w:line="360" w:lineRule="exact"/>
      <w:ind w:firstLine="599" w:firstLineChars="214"/>
    </w:pPr>
    <w:rPr>
      <w:rFonts w:ascii="楷体_GB2312" w:eastAsia="楷体_GB2312"/>
      <w:kern w:val="2"/>
      <w:sz w:val="2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1625</Words>
  <Characters>1673</Characters>
  <Lines>0</Lines>
  <Paragraphs>0</Paragraphs>
  <TotalTime>1</TotalTime>
  <ScaleCrop>false</ScaleCrop>
  <LinksUpToDate>false</LinksUpToDate>
  <CharactersWithSpaces>1675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2024-04-11T01:00:00Z</dcterms:created>
  <dc:creator>Sqqqq</dc:creator>
  <cp:lastModifiedBy>Sqqqq</cp:lastModifiedBy>
  <dcterms:modified xsi:type="dcterms:W3CDTF">2024-04-11T07:01:17Z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6EE6F8F996E745188B074541C57615E1_11</vt:lpwstr>
  </property>
</Properties>
</file>