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-1：</w:t>
      </w:r>
    </w:p>
    <w:p>
      <w:pPr>
        <w:spacing w:line="360" w:lineRule="auto"/>
        <w:rPr>
          <w:sz w:val="30"/>
        </w:rPr>
      </w:pPr>
    </w:p>
    <w:p>
      <w:pPr>
        <w:spacing w:line="360" w:lineRule="auto"/>
        <w:rPr>
          <w:sz w:val="30"/>
        </w:rPr>
      </w:pPr>
    </w:p>
    <w:p>
      <w:pPr>
        <w:spacing w:line="360" w:lineRule="auto"/>
        <w:rPr>
          <w:sz w:val="28"/>
        </w:rPr>
      </w:pPr>
    </w:p>
    <w:p>
      <w:pPr>
        <w:tabs>
          <w:tab w:val="left" w:pos="5220"/>
        </w:tabs>
        <w:jc w:val="center"/>
        <w:rPr>
          <w:rFonts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>石油和化工行业绿色供应链管理企业</w:t>
      </w:r>
    </w:p>
    <w:p>
      <w:pPr>
        <w:tabs>
          <w:tab w:val="left" w:pos="5220"/>
        </w:tabs>
        <w:jc w:val="center"/>
        <w:rPr>
          <w:rFonts w:ascii="黑体" w:hAnsi="黑体" w:eastAsia="黑体"/>
          <w:sz w:val="52"/>
          <w:szCs w:val="52"/>
        </w:rPr>
      </w:pPr>
      <w:r>
        <w:rPr>
          <w:rFonts w:hint="eastAsia" w:ascii="黑体" w:hAnsi="黑体" w:eastAsia="黑体"/>
          <w:sz w:val="52"/>
          <w:szCs w:val="52"/>
        </w:rPr>
        <w:t>自评价报告</w:t>
      </w:r>
    </w:p>
    <w:p>
      <w:pPr>
        <w:spacing w:line="360" w:lineRule="auto"/>
        <w:rPr>
          <w:rFonts w:ascii="Times New Roman" w:hAnsi="Times New Roman" w:cs="Times New Roman"/>
          <w:b/>
          <w:sz w:val="52"/>
        </w:rPr>
      </w:pPr>
    </w:p>
    <w:p>
      <w:pPr>
        <w:spacing w:line="360" w:lineRule="auto"/>
        <w:rPr>
          <w:rFonts w:ascii="Times New Roman" w:hAnsi="Times New Roman" w:cs="Times New Roman"/>
          <w:b/>
          <w:sz w:val="52"/>
        </w:rPr>
      </w:pPr>
    </w:p>
    <w:p>
      <w:pPr>
        <w:spacing w:line="360" w:lineRule="auto"/>
        <w:rPr>
          <w:rFonts w:ascii="Times New Roman" w:hAnsi="Times New Roman" w:cs="Times New Roman"/>
          <w:b/>
          <w:sz w:val="52"/>
        </w:rPr>
      </w:pPr>
    </w:p>
    <w:p>
      <w:pPr>
        <w:spacing w:line="360" w:lineRule="auto"/>
        <w:rPr>
          <w:rFonts w:ascii="仿宋_GB2312" w:hAnsi="仿宋_GB2312" w:eastAsia="仿宋_GB2312" w:cs="仿宋_GB2312"/>
          <w:b/>
          <w:sz w:val="52"/>
        </w:rPr>
      </w:pPr>
    </w:p>
    <w:p>
      <w:pPr>
        <w:spacing w:line="360" w:lineRule="auto"/>
        <w:rPr>
          <w:rFonts w:ascii="仿宋_GB2312" w:hAnsi="仿宋_GB2312" w:eastAsia="仿宋_GB2312" w:cs="仿宋_GB2312"/>
          <w:sz w:val="30"/>
          <w:u w:val="single"/>
        </w:rPr>
      </w:pPr>
      <w:r>
        <w:rPr>
          <w:rFonts w:eastAsia="楷体_GB2312"/>
          <w:sz w:val="30"/>
        </w:rPr>
        <w:pict>
          <v:shape id="Straight Connector 5" o:spid="_x0000_s1027" o:spt="32" type="#_x0000_t32" style="position:absolute;left:0pt;flip:y;margin-left:143.25pt;margin-top:25.05pt;height:0.05pt;width:204.1pt;z-index:251659264;mso-width-relative:page;mso-height-relative:page;" o:connectortype="straight" filled="f" o:preferrelative="t" coordsize="21600,21600">
            <v:path arrowok="t"/>
            <v:fill on="f" focussize="0,0"/>
            <v:stroke miterlimit="2"/>
            <v:imagedata o:title=""/>
            <o:lock v:ext="edit"/>
          </v:shape>
        </w:pict>
      </w:r>
      <w:r>
        <w:rPr>
          <w:rFonts w:hint="eastAsia" w:eastAsia="楷体_GB2312"/>
          <w:sz w:val="30"/>
        </w:rPr>
        <w:t xml:space="preserve">  </w:t>
      </w:r>
      <w:r>
        <w:rPr>
          <w:rFonts w:hint="eastAsia" w:ascii="仿宋_GB2312" w:hAnsi="仿宋_GB2312" w:eastAsia="仿宋_GB2312" w:cs="仿宋_GB2312"/>
          <w:sz w:val="30"/>
        </w:rPr>
        <w:t xml:space="preserve">        申报单位：</w:t>
      </w:r>
    </w:p>
    <w:p>
      <w:pPr>
        <w:spacing w:line="360" w:lineRule="auto"/>
        <w:ind w:firstLine="1500" w:firstLineChars="500"/>
        <w:rPr>
          <w:rFonts w:ascii="仿宋_GB2312" w:hAnsi="仿宋_GB2312" w:eastAsia="仿宋_GB2312" w:cs="仿宋_GB2312"/>
          <w:sz w:val="30"/>
        </w:rPr>
      </w:pPr>
    </w:p>
    <w:p>
      <w:pPr>
        <w:spacing w:line="360" w:lineRule="auto"/>
        <w:ind w:firstLine="1500" w:firstLineChars="500"/>
        <w:rPr>
          <w:rFonts w:ascii="仿宋_GB2312" w:hAnsi="仿宋_GB2312" w:eastAsia="仿宋_GB2312" w:cs="仿宋_GB2312"/>
          <w:sz w:val="30"/>
        </w:rPr>
      </w:pPr>
      <w:r>
        <w:rPr>
          <w:rFonts w:ascii="仿宋_GB2312" w:hAnsi="仿宋_GB2312" w:eastAsia="仿宋_GB2312" w:cs="仿宋_GB2312"/>
          <w:sz w:val="30"/>
        </w:rPr>
        <w:pict>
          <v:shape id="Straight Connector 6" o:spid="_x0000_s1028" o:spt="32" type="#_x0000_t32" style="position:absolute;left:0pt;flip:y;margin-left:141.75pt;margin-top:24.9pt;height:0.05pt;width:204.1pt;z-index:251659264;mso-width-relative:page;mso-height-relative:page;" o:connectortype="straight" filled="f" o:preferrelative="t" coordsize="21600,21600">
            <v:path arrowok="t"/>
            <v:fill on="f" focussize="0,0"/>
            <v:stroke miterlimit="2"/>
            <v:imagedata o:title=""/>
            <o:lock v:ext="edit"/>
          </v:shape>
        </w:pict>
      </w:r>
      <w:r>
        <w:rPr>
          <w:rFonts w:hint="eastAsia" w:ascii="仿宋_GB2312" w:hAnsi="仿宋_GB2312" w:eastAsia="仿宋_GB2312" w:cs="仿宋_GB2312"/>
          <w:sz w:val="30"/>
        </w:rPr>
        <w:t xml:space="preserve">所在省市：                         </w:t>
      </w:r>
    </w:p>
    <w:p>
      <w:pPr>
        <w:spacing w:line="360" w:lineRule="auto"/>
        <w:ind w:firstLine="1800" w:firstLineChars="600"/>
        <w:rPr>
          <w:rFonts w:ascii="仿宋_GB2312" w:hAnsi="仿宋_GB2312" w:eastAsia="仿宋_GB2312" w:cs="仿宋_GB2312"/>
          <w:sz w:val="30"/>
        </w:rPr>
      </w:pPr>
    </w:p>
    <w:p>
      <w:pPr>
        <w:spacing w:line="360" w:lineRule="auto"/>
        <w:rPr>
          <w:rFonts w:ascii="仿宋_GB2312" w:hAnsi="仿宋_GB2312" w:eastAsia="仿宋_GB2312" w:cs="仿宋_GB2312"/>
          <w:sz w:val="30"/>
        </w:rPr>
      </w:pPr>
    </w:p>
    <w:p>
      <w:pPr>
        <w:spacing w:line="360" w:lineRule="auto"/>
        <w:rPr>
          <w:rFonts w:ascii="仿宋_GB2312" w:hAnsi="仿宋_GB2312" w:eastAsia="仿宋_GB2312" w:cs="仿宋_GB2312"/>
          <w:sz w:val="30"/>
        </w:rPr>
      </w:pPr>
    </w:p>
    <w:p>
      <w:pPr>
        <w:spacing w:line="360" w:lineRule="auto"/>
        <w:rPr>
          <w:rFonts w:ascii="仿宋_GB2312" w:hAnsi="仿宋_GB2312" w:eastAsia="仿宋_GB2312" w:cs="仿宋_GB2312"/>
          <w:sz w:val="30"/>
        </w:rPr>
      </w:pPr>
    </w:p>
    <w:p>
      <w:pPr>
        <w:spacing w:line="360" w:lineRule="auto"/>
        <w:rPr>
          <w:rFonts w:ascii="仿宋_GB2312" w:hAnsi="仿宋_GB2312" w:eastAsia="仿宋_GB2312" w:cs="仿宋_GB2312"/>
          <w:sz w:val="30"/>
        </w:rPr>
      </w:pPr>
    </w:p>
    <w:p>
      <w:pPr>
        <w:spacing w:line="360" w:lineRule="auto"/>
        <w:rPr>
          <w:rFonts w:ascii="仿宋_GB2312" w:hAnsi="仿宋_GB2312" w:eastAsia="仿宋_GB2312" w:cs="仿宋_GB2312"/>
          <w:sz w:val="30"/>
        </w:rPr>
      </w:pPr>
    </w:p>
    <w:p>
      <w:pPr>
        <w:spacing w:line="360" w:lineRule="auto"/>
        <w:jc w:val="center"/>
        <w:rPr>
          <w:rFonts w:ascii="仿宋_GB2312" w:hAnsi="仿宋_GB2312" w:eastAsia="仿宋_GB2312" w:cs="仿宋_GB2312"/>
          <w:sz w:val="30"/>
        </w:rPr>
      </w:pPr>
      <w:r>
        <w:rPr>
          <w:rFonts w:hint="eastAsia" w:ascii="仿宋_GB2312" w:hAnsi="仿宋_GB2312" w:eastAsia="仿宋_GB2312" w:cs="仿宋_GB2312"/>
          <w:sz w:val="30"/>
        </w:rPr>
        <w:t>中国石油和化学工业联合会制</w:t>
      </w:r>
    </w:p>
    <w:p>
      <w:pPr>
        <w:spacing w:line="360" w:lineRule="auto"/>
        <w:jc w:val="center"/>
        <w:rPr>
          <w:rFonts w:ascii="仿宋_GB2312" w:hAnsi="仿宋_GB2312" w:eastAsia="仿宋_GB2312" w:cs="仿宋_GB2312"/>
          <w:sz w:val="30"/>
        </w:rPr>
      </w:pPr>
      <w:r>
        <w:rPr>
          <w:rFonts w:hint="eastAsia" w:ascii="仿宋_GB2312" w:hAnsi="仿宋_GB2312" w:eastAsia="仿宋_GB2312" w:cs="仿宋_GB2312"/>
          <w:sz w:val="30"/>
        </w:rPr>
        <w:t xml:space="preserve"> 20  年    月    日</w:t>
      </w:r>
    </w:p>
    <w:p>
      <w:pPr>
        <w:spacing w:line="360" w:lineRule="auto"/>
        <w:rPr>
          <w:b/>
          <w:sz w:val="30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spacing w:line="360" w:lineRule="auto"/>
        <w:jc w:val="center"/>
        <w:rPr>
          <w:rFonts w:ascii="Times New Roman" w:hAnsi="Times New Roman" w:eastAsia="黑体" w:cs="Times New Roman"/>
          <w:sz w:val="48"/>
          <w:szCs w:val="48"/>
        </w:rPr>
      </w:pPr>
      <w:r>
        <w:rPr>
          <w:rFonts w:ascii="Times New Roman" w:hAnsi="Times New Roman" w:eastAsia="黑体" w:cs="Times New Roman"/>
          <w:sz w:val="48"/>
          <w:szCs w:val="48"/>
        </w:rPr>
        <w:t>填 写 说 明</w:t>
      </w:r>
    </w:p>
    <w:p>
      <w:pPr>
        <w:spacing w:line="360" w:lineRule="auto"/>
        <w:rPr>
          <w:rFonts w:ascii="仿宋_GB2312" w:eastAsia="仿宋_GB2312"/>
          <w:b/>
          <w:sz w:val="30"/>
        </w:rPr>
      </w:pPr>
    </w:p>
    <w:p>
      <w:pPr>
        <w:tabs>
          <w:tab w:val="left" w:pos="1152"/>
        </w:tabs>
        <w:spacing w:line="580" w:lineRule="exact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一、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申请企业应当准确、如实填报。</w:t>
      </w:r>
    </w:p>
    <w:p>
      <w:pPr>
        <w:numPr>
          <w:ilvl w:val="255"/>
          <w:numId w:val="0"/>
        </w:numPr>
        <w:tabs>
          <w:tab w:val="left" w:pos="1152"/>
        </w:tabs>
        <w:spacing w:line="580" w:lineRule="exact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二、企业所属行业请依据GB/T 4754-2011《国民经济行业分类》填写；单位性质依据营业执照中的类型填写。</w:t>
      </w:r>
    </w:p>
    <w:p>
      <w:pPr>
        <w:tabs>
          <w:tab w:val="left" w:pos="1152"/>
        </w:tabs>
        <w:spacing w:line="580" w:lineRule="exact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三、有关项目页面不够时，可加附页。</w:t>
      </w:r>
    </w:p>
    <w:p>
      <w:pPr>
        <w:tabs>
          <w:tab w:val="left" w:pos="1152"/>
        </w:tabs>
        <w:spacing w:line="580" w:lineRule="exact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四、自评价报告应按照规定格式填写，并使用A4纸打印装订（一式三份、电子版一份）。</w:t>
      </w:r>
    </w:p>
    <w:p>
      <w:pPr>
        <w:spacing w:before="156" w:beforeLines="50" w:after="312" w:afterLines="100" w:line="360" w:lineRule="auto"/>
        <w:rPr>
          <w:rFonts w:ascii="仿宋_GB2312" w:eastAsia="仿宋_GB2312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基本信息表</w:t>
      </w:r>
    </w:p>
    <w:tbl>
      <w:tblPr>
        <w:tblStyle w:val="7"/>
        <w:tblpPr w:leftFromText="180" w:rightFromText="180" w:vertAnchor="text" w:tblpXSpec="center" w:tblpY="1"/>
        <w:tblOverlap w:val="never"/>
        <w:tblW w:w="8332" w:type="dxa"/>
        <w:tblInd w:w="0" w:type="dxa"/>
        <w:tblBorders>
          <w:top w:val="single" w:color="000000" w:sz="8" w:space="0"/>
          <w:left w:val="single" w:color="000000" w:sz="4" w:space="0"/>
          <w:bottom w:val="single" w:color="auto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9"/>
        <w:gridCol w:w="3117"/>
        <w:gridCol w:w="1240"/>
        <w:gridCol w:w="2336"/>
      </w:tblGrid>
      <w:tr>
        <w:tblPrEx>
          <w:tblBorders>
            <w:top w:val="single" w:color="000000" w:sz="8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39" w:type="dxa"/>
            <w:tcBorders>
              <w:top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企业名称</w:t>
            </w:r>
          </w:p>
        </w:tc>
        <w:tc>
          <w:tcPr>
            <w:tcW w:w="6693" w:type="dxa"/>
            <w:gridSpan w:val="3"/>
            <w:tcBorders>
              <w:top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39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所属行业</w:t>
            </w:r>
          </w:p>
        </w:tc>
        <w:tc>
          <w:tcPr>
            <w:tcW w:w="6693" w:type="dxa"/>
            <w:gridSpan w:val="3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39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通讯地址</w:t>
            </w:r>
          </w:p>
        </w:tc>
        <w:tc>
          <w:tcPr>
            <w:tcW w:w="6693" w:type="dxa"/>
            <w:gridSpan w:val="3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39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单位性质</w:t>
            </w:r>
          </w:p>
        </w:tc>
        <w:tc>
          <w:tcPr>
            <w:tcW w:w="6693" w:type="dxa"/>
            <w:gridSpan w:val="3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内资（□国有□集体□民营）□中外合资□港澳台□外商独资</w:t>
            </w:r>
          </w:p>
        </w:tc>
      </w:tr>
      <w:tr>
        <w:tblPrEx>
          <w:tblBorders>
            <w:top w:val="single" w:color="000000" w:sz="8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39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统一社会</w:t>
            </w:r>
          </w:p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信用代码</w:t>
            </w:r>
          </w:p>
        </w:tc>
        <w:tc>
          <w:tcPr>
            <w:tcW w:w="3117" w:type="dxa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1240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邮编</w:t>
            </w:r>
          </w:p>
        </w:tc>
        <w:tc>
          <w:tcPr>
            <w:tcW w:w="2336" w:type="dxa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39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注册机关</w:t>
            </w:r>
          </w:p>
        </w:tc>
        <w:tc>
          <w:tcPr>
            <w:tcW w:w="3117" w:type="dxa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1240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注册资本</w:t>
            </w:r>
          </w:p>
        </w:tc>
        <w:tc>
          <w:tcPr>
            <w:tcW w:w="2336" w:type="dxa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39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成立日期</w:t>
            </w:r>
          </w:p>
        </w:tc>
        <w:tc>
          <w:tcPr>
            <w:tcW w:w="3117" w:type="dxa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1240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有效期</w:t>
            </w:r>
          </w:p>
        </w:tc>
        <w:tc>
          <w:tcPr>
            <w:tcW w:w="2336" w:type="dxa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39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法定代表人</w:t>
            </w:r>
          </w:p>
        </w:tc>
        <w:tc>
          <w:tcPr>
            <w:tcW w:w="3117" w:type="dxa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1240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法人代表联系方式</w:t>
            </w:r>
          </w:p>
        </w:tc>
        <w:tc>
          <w:tcPr>
            <w:tcW w:w="2336" w:type="dxa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39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申报工作</w:t>
            </w:r>
          </w:p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联系部门</w:t>
            </w:r>
          </w:p>
        </w:tc>
        <w:tc>
          <w:tcPr>
            <w:tcW w:w="3117" w:type="dxa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1240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联系人</w:t>
            </w:r>
          </w:p>
        </w:tc>
        <w:tc>
          <w:tcPr>
            <w:tcW w:w="2336" w:type="dxa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39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3117" w:type="dxa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1240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传真</w:t>
            </w:r>
          </w:p>
        </w:tc>
        <w:tc>
          <w:tcPr>
            <w:tcW w:w="2336" w:type="dxa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39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手机</w:t>
            </w:r>
          </w:p>
        </w:tc>
        <w:tc>
          <w:tcPr>
            <w:tcW w:w="3117" w:type="dxa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1240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电子邮箱</w:t>
            </w:r>
          </w:p>
        </w:tc>
        <w:tc>
          <w:tcPr>
            <w:tcW w:w="2336" w:type="dxa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39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企业简介</w:t>
            </w:r>
          </w:p>
        </w:tc>
        <w:tc>
          <w:tcPr>
            <w:tcW w:w="6693" w:type="dxa"/>
            <w:gridSpan w:val="3"/>
          </w:tcPr>
          <w:p>
            <w:pPr>
              <w:widowControl/>
              <w:spacing w:before="156" w:beforeLines="50"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（主营业务、近三年经营状况、上下游供应商等方面基本情况，限400字）</w:t>
            </w:r>
          </w:p>
          <w:p>
            <w:pPr>
              <w:widowControl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  <w:p>
            <w:pPr>
              <w:widowControl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  <w:p>
            <w:pPr>
              <w:widowControl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  <w:p>
            <w:pPr>
              <w:widowControl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  <w:p>
            <w:pPr>
              <w:widowControl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  <w:p>
            <w:pPr>
              <w:widowControl/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0" w:hRule="atLeast"/>
        </w:trPr>
        <w:tc>
          <w:tcPr>
            <w:tcW w:w="833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/>
              <w:rPr>
                <w:rFonts w:ascii="Times New Roman" w:hAnsi="Times New Roman" w:eastAsia="仿宋_GB2312" w:cs="Times New Roman"/>
                <w:b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kern w:val="0"/>
                <w:sz w:val="24"/>
              </w:rPr>
              <w:t>材料真实性承诺:</w:t>
            </w:r>
          </w:p>
          <w:p>
            <w:pPr>
              <w:widowControl/>
              <w:ind w:firstLine="496" w:firstLineChars="207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widowControl/>
              <w:ind w:firstLine="496" w:firstLineChars="207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我单位郑重承诺：本次申报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</w:rPr>
              <w:t>石油和化工行业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绿色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</w:rPr>
              <w:t>供应链管理企业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所提交的相关数据和信息均真实、有效，愿接受并积极配合主管部门的监督抽查和核验。如有违反，愿承担由此产生的相应责任。</w:t>
            </w:r>
          </w:p>
          <w:p>
            <w:pPr>
              <w:widowControl/>
              <w:ind w:firstLine="496" w:firstLineChars="207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widowControl/>
              <w:ind w:firstLine="496" w:firstLineChars="207"/>
              <w:rPr>
                <w:rFonts w:hint="eastAsia"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widowControl/>
              <w:wordWrap w:val="0"/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</w:rPr>
              <w:t xml:space="preserve">                           </w:t>
            </w:r>
            <w:r>
              <w:rPr>
                <w:rFonts w:ascii="Times New Roman" w:hAnsi="Times New Roman" w:eastAsia="仿宋_GB2312" w:cs="Times New Roman"/>
                <w:b/>
                <w:kern w:val="0"/>
                <w:sz w:val="24"/>
              </w:rPr>
              <w:t xml:space="preserve">法人或单位负责人签字：          </w:t>
            </w:r>
          </w:p>
          <w:p>
            <w:pPr>
              <w:widowControl/>
              <w:rPr>
                <w:rFonts w:ascii="Times New Roman" w:hAnsi="Times New Roman" w:eastAsia="仿宋_GB2312" w:cs="Times New Roman"/>
                <w:b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</w:rPr>
              <w:t xml:space="preserve">                                            </w:t>
            </w:r>
            <w:r>
              <w:rPr>
                <w:rFonts w:ascii="Times New Roman" w:hAnsi="Times New Roman" w:eastAsia="仿宋_GB2312" w:cs="Times New Roman"/>
                <w:b/>
                <w:kern w:val="0"/>
                <w:sz w:val="24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</w:rPr>
              <w:t>公</w:t>
            </w:r>
            <w:r>
              <w:rPr>
                <w:rFonts w:ascii="Times New Roman" w:hAnsi="Times New Roman" w:eastAsia="仿宋_GB2312" w:cs="Times New Roman"/>
                <w:b/>
                <w:kern w:val="0"/>
                <w:sz w:val="24"/>
              </w:rPr>
              <w:t>章）</w:t>
            </w:r>
          </w:p>
          <w:p>
            <w:pPr>
              <w:widowControl/>
              <w:wordWrap w:val="0"/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</w:rPr>
              <w:t xml:space="preserve">                                            </w:t>
            </w:r>
            <w:r>
              <w:rPr>
                <w:rFonts w:ascii="Times New Roman" w:hAnsi="Times New Roman" w:eastAsia="仿宋_GB2312" w:cs="Times New Roman"/>
                <w:b/>
                <w:kern w:val="0"/>
                <w:sz w:val="24"/>
              </w:rPr>
              <w:t xml:space="preserve">日期：           </w:t>
            </w:r>
          </w:p>
          <w:p>
            <w:pPr>
              <w:widowControl/>
              <w:jc w:val="righ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kern w:val="0"/>
                <w:sz w:val="24"/>
              </w:rPr>
              <w:t xml:space="preserve">         </w:t>
            </w:r>
          </w:p>
        </w:tc>
      </w:tr>
    </w:tbl>
    <w:p>
      <w:pPr>
        <w:spacing w:line="360" w:lineRule="auto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一、企业绿色供应链管理体系建设情况简述（1500字）</w:t>
      </w:r>
    </w:p>
    <w:tbl>
      <w:tblPr>
        <w:tblStyle w:val="7"/>
        <w:tblW w:w="89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3" w:hRule="atLeast"/>
        </w:trPr>
        <w:tc>
          <w:tcPr>
            <w:tcW w:w="8942" w:type="dxa"/>
          </w:tcPr>
          <w:p>
            <w:pPr>
              <w:widowControl/>
              <w:spacing w:line="360" w:lineRule="auto"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 xml:space="preserve">    对企业绿色供应链管理体系建设的主要内容、取得的成效和未来三年的推进计划等进行简要叙述。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方正仿宋简体" w:hAnsi="Times New Roman" w:eastAsia="方正仿宋简体" w:cs="Times New Roman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方正仿宋简体" w:hAnsi="Times New Roman" w:eastAsia="方正仿宋简体" w:cs="Times New Roman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方正仿宋简体" w:hAnsi="Times New Roman" w:eastAsia="方正仿宋简体" w:cs="Times New Roman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方正仿宋简体" w:hAnsi="Times New Roman" w:eastAsia="方正仿宋简体" w:cs="Times New Roman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480"/>
              <w:rPr>
                <w:rFonts w:ascii="方正仿宋简体" w:hAnsi="Times New Roman" w:eastAsia="方正仿宋简体" w:cs="Times New Roman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480"/>
              <w:rPr>
                <w:rFonts w:ascii="方正仿宋简体" w:hAnsi="Times New Roman" w:eastAsia="方正仿宋简体" w:cs="Times New Roman"/>
                <w:kern w:val="0"/>
                <w:sz w:val="24"/>
                <w:szCs w:val="20"/>
              </w:rPr>
            </w:pPr>
          </w:p>
        </w:tc>
      </w:tr>
    </w:tbl>
    <w:p>
      <w:pPr>
        <w:spacing w:line="360" w:lineRule="auto"/>
        <w:rPr>
          <w:rFonts w:ascii="黑体" w:hAnsi="黑体" w:eastAsia="黑体"/>
          <w:bCs/>
          <w:sz w:val="32"/>
          <w:szCs w:val="32"/>
        </w:rPr>
      </w:pPr>
    </w:p>
    <w:p>
      <w:pPr>
        <w:spacing w:line="360" w:lineRule="auto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二、绿色供应链管理企业自评价结果</w:t>
      </w:r>
    </w:p>
    <w:tbl>
      <w:tblPr>
        <w:tblStyle w:val="7"/>
        <w:tblW w:w="89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2191"/>
        <w:gridCol w:w="4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22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基本要求</w:t>
            </w:r>
          </w:p>
        </w:tc>
        <w:tc>
          <w:tcPr>
            <w:tcW w:w="6676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□符合  □不符合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24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近三年得分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情况</w:t>
            </w:r>
          </w:p>
        </w:tc>
        <w:tc>
          <w:tcPr>
            <w:tcW w:w="219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第1年</w:t>
            </w:r>
          </w:p>
        </w:tc>
        <w:tc>
          <w:tcPr>
            <w:tcW w:w="448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24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19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第2年</w:t>
            </w:r>
          </w:p>
        </w:tc>
        <w:tc>
          <w:tcPr>
            <w:tcW w:w="448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24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19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第3年</w:t>
            </w:r>
          </w:p>
        </w:tc>
        <w:tc>
          <w:tcPr>
            <w:tcW w:w="448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24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19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平均分</w:t>
            </w:r>
          </w:p>
        </w:tc>
        <w:tc>
          <w:tcPr>
            <w:tcW w:w="448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ascii="黑体" w:hAnsi="黑体" w:eastAsia="黑体"/>
          <w:bCs/>
          <w:sz w:val="32"/>
          <w:szCs w:val="32"/>
        </w:rPr>
      </w:pPr>
    </w:p>
    <w:p>
      <w:pPr>
        <w:spacing w:before="156" w:beforeLines="50" w:after="312" w:afterLines="100" w:line="360" w:lineRule="auto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三、与本次申报相关的证明材料</w:t>
      </w:r>
    </w:p>
    <w:p>
      <w:pPr>
        <w:widowControl/>
        <w:jc w:val="left"/>
        <w:rPr>
          <w:rFonts w:ascii="仿宋_GB2312" w:eastAsia="仿宋_GB2312"/>
          <w:sz w:val="32"/>
          <w:szCs w:val="32"/>
        </w:rPr>
      </w:pPr>
    </w:p>
    <w:p>
      <w:pPr>
        <w:widowControl/>
        <w:jc w:val="left"/>
        <w:rPr>
          <w:rFonts w:ascii="仿宋_GB2312" w:eastAsia="仿宋_GB2312"/>
          <w:sz w:val="32"/>
          <w:szCs w:val="32"/>
        </w:rPr>
      </w:pPr>
    </w:p>
    <w:p>
      <w:pPr>
        <w:widowControl/>
        <w:jc w:val="left"/>
        <w:rPr>
          <w:rFonts w:hint="eastAsia" w:ascii="仿宋_GB2312" w:eastAsia="仿宋_GB2312"/>
          <w:sz w:val="32"/>
          <w:szCs w:val="32"/>
        </w:rPr>
      </w:pPr>
    </w:p>
    <w:p>
      <w:pPr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附件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Times New Roman"/>
          <w:sz w:val="32"/>
          <w:szCs w:val="32"/>
        </w:rPr>
        <w:t>-2：</w:t>
      </w:r>
    </w:p>
    <w:p>
      <w:pPr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                                              </w:t>
      </w:r>
    </w:p>
    <w:p>
      <w:pPr>
        <w:spacing w:line="360" w:lineRule="auto"/>
        <w:jc w:val="center"/>
        <w:rPr>
          <w:rFonts w:ascii="Times New Roman" w:hAnsi="Times New Roman" w:eastAsia="方正小标宋简体" w:cs="Times New Roman"/>
          <w:bCs/>
          <w:sz w:val="52"/>
          <w:szCs w:val="52"/>
        </w:rPr>
      </w:pPr>
    </w:p>
    <w:p>
      <w:pPr>
        <w:spacing w:line="360" w:lineRule="auto"/>
        <w:jc w:val="center"/>
        <w:rPr>
          <w:rFonts w:ascii="Times New Roman" w:hAnsi="Times New Roman" w:eastAsia="方正小标宋简体" w:cs="Times New Roman"/>
          <w:bCs/>
          <w:sz w:val="52"/>
          <w:szCs w:val="52"/>
        </w:rPr>
      </w:pPr>
    </w:p>
    <w:p>
      <w:pPr>
        <w:spacing w:line="360" w:lineRule="auto"/>
        <w:jc w:val="center"/>
        <w:rPr>
          <w:rFonts w:ascii="黑体" w:hAnsi="黑体" w:eastAsia="黑体"/>
          <w:bCs/>
          <w:sz w:val="48"/>
          <w:szCs w:val="48"/>
        </w:rPr>
      </w:pPr>
      <w:r>
        <w:rPr>
          <w:rFonts w:hint="eastAsia" w:ascii="黑体" w:hAnsi="黑体" w:eastAsia="黑体"/>
          <w:bCs/>
          <w:sz w:val="48"/>
          <w:szCs w:val="48"/>
        </w:rPr>
        <w:t>石油和化工行业</w:t>
      </w:r>
      <w:r>
        <w:rPr>
          <w:rFonts w:ascii="黑体" w:hAnsi="黑体" w:eastAsia="黑体"/>
          <w:bCs/>
          <w:sz w:val="48"/>
          <w:szCs w:val="48"/>
        </w:rPr>
        <w:t>绿色</w:t>
      </w:r>
      <w:r>
        <w:rPr>
          <w:rFonts w:hint="eastAsia" w:ascii="黑体" w:hAnsi="黑体" w:eastAsia="黑体"/>
          <w:bCs/>
          <w:sz w:val="48"/>
          <w:szCs w:val="48"/>
        </w:rPr>
        <w:t>供应链管理企业</w:t>
      </w:r>
    </w:p>
    <w:p>
      <w:pPr>
        <w:spacing w:line="360" w:lineRule="auto"/>
        <w:jc w:val="center"/>
        <w:rPr>
          <w:rFonts w:ascii="黑体" w:hAnsi="黑体" w:eastAsia="黑体"/>
          <w:bCs/>
          <w:sz w:val="52"/>
          <w:szCs w:val="52"/>
        </w:rPr>
      </w:pPr>
      <w:r>
        <w:rPr>
          <w:rFonts w:hint="eastAsia" w:ascii="黑体" w:hAnsi="黑体" w:eastAsia="黑体"/>
          <w:bCs/>
          <w:sz w:val="52"/>
          <w:szCs w:val="52"/>
        </w:rPr>
        <w:t>第三方</w:t>
      </w:r>
      <w:r>
        <w:rPr>
          <w:rFonts w:ascii="黑体" w:hAnsi="黑体" w:eastAsia="黑体"/>
          <w:bCs/>
          <w:sz w:val="52"/>
          <w:szCs w:val="52"/>
        </w:rPr>
        <w:t>评</w:t>
      </w:r>
      <w:r>
        <w:rPr>
          <w:rFonts w:hint="eastAsia" w:ascii="黑体" w:hAnsi="黑体" w:eastAsia="黑体"/>
          <w:bCs/>
          <w:sz w:val="52"/>
          <w:szCs w:val="52"/>
        </w:rPr>
        <w:t>价报告</w:t>
      </w:r>
    </w:p>
    <w:p>
      <w:pPr>
        <w:rPr>
          <w:rFonts w:ascii="仿宋_GB2312" w:hAnsi="仿宋_GB2312" w:eastAsia="仿宋_GB2312" w:cs="仿宋_GB2312"/>
          <w:sz w:val="28"/>
        </w:rPr>
      </w:pPr>
    </w:p>
    <w:p>
      <w:pPr>
        <w:rPr>
          <w:rFonts w:ascii="仿宋_GB2312" w:hAnsi="仿宋_GB2312" w:eastAsia="仿宋_GB2312" w:cs="仿宋_GB2312"/>
          <w:sz w:val="28"/>
        </w:rPr>
      </w:pPr>
    </w:p>
    <w:p>
      <w:pPr>
        <w:rPr>
          <w:rFonts w:ascii="方正仿宋简体" w:hAnsi="方正仿宋简体" w:eastAsia="方正仿宋简体" w:cs="方正仿宋简体"/>
          <w:sz w:val="32"/>
        </w:rPr>
      </w:pPr>
    </w:p>
    <w:p>
      <w:pPr>
        <w:rPr>
          <w:rFonts w:ascii="方正仿宋简体" w:hAnsi="方正仿宋简体" w:eastAsia="方正仿宋简体" w:cs="方正仿宋简体"/>
          <w:sz w:val="32"/>
        </w:rPr>
      </w:pPr>
    </w:p>
    <w:p>
      <w:pPr>
        <w:rPr>
          <w:rFonts w:ascii="方正仿宋简体" w:hAnsi="方正仿宋简体" w:eastAsia="方正仿宋简体" w:cs="方正仿宋简体"/>
          <w:sz w:val="32"/>
        </w:rPr>
      </w:pPr>
    </w:p>
    <w:p>
      <w:pPr>
        <w:spacing w:line="360" w:lineRule="auto"/>
        <w:ind w:firstLine="960" w:firstLineChars="3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pict>
          <v:shape id="Straight Connector 8" o:spid="_x0000_s1031" o:spt="32" type="#_x0000_t32" style="position:absolute;left:0pt;flip:y;margin-left:201.3pt;margin-top:22pt;height:0.05pt;width:215.2pt;z-index:251659264;mso-width-relative:page;mso-height-relative:page;" o:connectortype="straight" filled="f" o:preferrelative="t" coordsize="21600,21600">
            <v:path arrowok="t"/>
            <v:fill on="f" focussize="0,0"/>
            <v:stroke miterlimit="2"/>
            <v:imagedata o:title=""/>
            <o:lock v:ext="edit"/>
          </v:shape>
        </w:pict>
      </w:r>
      <w:r>
        <w:rPr>
          <w:rFonts w:hint="eastAsia" w:ascii="仿宋_GB2312" w:eastAsia="仿宋_GB2312"/>
          <w:sz w:val="32"/>
          <w:szCs w:val="32"/>
        </w:rPr>
        <w:t xml:space="preserve">企 </w:t>
      </w:r>
      <w:r>
        <w:rPr>
          <w:rFonts w:ascii="仿宋_GB2312" w:eastAsia="仿宋_GB2312"/>
          <w:sz w:val="32"/>
          <w:szCs w:val="32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 xml:space="preserve">业 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 xml:space="preserve">名   称： </w:t>
      </w:r>
    </w:p>
    <w:p>
      <w:pPr>
        <w:spacing w:line="360" w:lineRule="auto"/>
        <w:ind w:firstLine="1920" w:firstLineChars="6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960" w:firstLineChars="3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pict>
          <v:shape id="Straight Connector 9" o:spid="_x0000_s1032" o:spt="32" type="#_x0000_t32" style="position:absolute;left:0pt;flip:y;margin-left:202pt;margin-top:21.55pt;height:0.05pt;width:212.6pt;z-index:251659264;mso-width-relative:page;mso-height-relative:page;" o:connectortype="straight" filled="f" o:preferrelative="t" coordsize="21600,21600">
            <v:path arrowok="t"/>
            <v:fill on="f" focussize="0,0"/>
            <v:stroke miterlimit="2"/>
            <v:imagedata o:title=""/>
            <o:lock v:ext="edit"/>
          </v:shape>
        </w:pict>
      </w:r>
      <w:r>
        <w:rPr>
          <w:rFonts w:hint="eastAsia" w:ascii="仿宋_GB2312" w:eastAsia="仿宋_GB2312"/>
          <w:sz w:val="32"/>
          <w:szCs w:val="32"/>
        </w:rPr>
        <w:t>第三方评价机构名称</w:t>
      </w:r>
    </w:p>
    <w:p>
      <w:pPr>
        <w:rPr>
          <w:rFonts w:ascii="方正仿宋简体" w:hAnsi="方正仿宋简体" w:eastAsia="方正仿宋简体" w:cs="方正仿宋简体"/>
          <w:sz w:val="32"/>
        </w:rPr>
      </w:pPr>
      <w:r>
        <w:rPr>
          <w:rFonts w:hint="eastAsia" w:ascii="方正仿宋简体" w:hAnsi="方正仿宋简体" w:eastAsia="方正仿宋简体" w:cs="方正仿宋简体"/>
          <w:sz w:val="32"/>
        </w:rPr>
        <w:t xml:space="preserve">   </w:t>
      </w:r>
    </w:p>
    <w:p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ab/>
      </w:r>
      <w:r>
        <w:rPr>
          <w:rFonts w:ascii="仿宋_GB2312" w:eastAsia="仿宋_GB2312"/>
          <w:sz w:val="30"/>
          <w:szCs w:val="30"/>
        </w:rPr>
        <w:tab/>
      </w:r>
      <w:r>
        <w:rPr>
          <w:rFonts w:ascii="仿宋_GB2312" w:eastAsia="仿宋_GB2312"/>
          <w:sz w:val="30"/>
          <w:szCs w:val="30"/>
        </w:rPr>
        <w:t xml:space="preserve">               </w:t>
      </w:r>
    </w:p>
    <w:p>
      <w:pPr>
        <w:rPr>
          <w:rFonts w:ascii="仿宋_GB2312" w:eastAsia="仿宋_GB2312"/>
          <w:sz w:val="30"/>
          <w:szCs w:val="30"/>
        </w:rPr>
      </w:pPr>
    </w:p>
    <w:p>
      <w:pPr>
        <w:rPr>
          <w:rFonts w:ascii="仿宋_GB2312" w:eastAsia="仿宋_GB2312"/>
          <w:sz w:val="30"/>
          <w:szCs w:val="30"/>
        </w:rPr>
      </w:pPr>
    </w:p>
    <w:p>
      <w:pPr>
        <w:rPr>
          <w:rFonts w:ascii="仿宋_GB2312" w:eastAsia="仿宋_GB2312"/>
          <w:sz w:val="30"/>
          <w:szCs w:val="30"/>
        </w:rPr>
      </w:pPr>
    </w:p>
    <w:p>
      <w:pPr>
        <w:jc w:val="center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中国石油和化学工业联合会制</w:t>
      </w:r>
    </w:p>
    <w:p>
      <w:pPr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 xml:space="preserve">0  </w:t>
      </w:r>
      <w:r>
        <w:rPr>
          <w:rFonts w:hint="eastAsia" w:ascii="仿宋_GB2312" w:eastAsia="仿宋_GB2312"/>
          <w:sz w:val="30"/>
          <w:szCs w:val="30"/>
        </w:rPr>
        <w:t xml:space="preserve"> 年       月      </w:t>
      </w:r>
    </w:p>
    <w:p>
      <w:pPr>
        <w:spacing w:line="360" w:lineRule="auto"/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6"/>
          <w:szCs w:val="36"/>
        </w:rPr>
        <w:br w:type="page"/>
      </w:r>
      <w:r>
        <w:rPr>
          <w:rFonts w:hint="eastAsia" w:ascii="黑体" w:hAnsi="黑体" w:eastAsia="黑体"/>
          <w:bCs/>
          <w:sz w:val="32"/>
          <w:szCs w:val="32"/>
        </w:rPr>
        <w:t>基本信息表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2410"/>
        <w:gridCol w:w="1701"/>
        <w:gridCol w:w="2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522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仿宋_GB2312" w:hAnsi="仿宋" w:eastAsia="仿宋_GB2312" w:cs="Times New Roman"/>
                <w:b/>
                <w:color w:val="000000"/>
                <w:kern w:val="0"/>
                <w:sz w:val="24"/>
              </w:rPr>
              <w:t>一</w:t>
            </w:r>
            <w:r>
              <w:rPr>
                <w:rFonts w:hint="eastAsia" w:ascii="仿宋_GB2312" w:hAnsi="仿宋" w:eastAsia="仿宋_GB2312" w:cs="Times New Roman"/>
                <w:b/>
                <w:color w:val="000000"/>
                <w:kern w:val="0"/>
                <w:sz w:val="24"/>
              </w:rPr>
              <w:t>、企业</w:t>
            </w:r>
            <w:r>
              <w:rPr>
                <w:rFonts w:ascii="仿宋_GB2312" w:hAnsi="仿宋" w:eastAsia="仿宋_GB2312" w:cs="Times New Roman"/>
                <w:b/>
                <w:color w:val="000000"/>
                <w:kern w:val="0"/>
                <w:sz w:val="24"/>
              </w:rPr>
              <w:t>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376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企业名称</w:t>
            </w:r>
          </w:p>
        </w:tc>
        <w:tc>
          <w:tcPr>
            <w:tcW w:w="6146" w:type="dxa"/>
            <w:gridSpan w:val="3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376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通讯地址</w:t>
            </w:r>
          </w:p>
        </w:tc>
        <w:tc>
          <w:tcPr>
            <w:tcW w:w="6146" w:type="dxa"/>
            <w:gridSpan w:val="3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376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统一社会信用代码</w:t>
            </w:r>
          </w:p>
        </w:tc>
        <w:tc>
          <w:tcPr>
            <w:tcW w:w="2410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  <w:t>企业性质</w:t>
            </w:r>
          </w:p>
        </w:tc>
        <w:tc>
          <w:tcPr>
            <w:tcW w:w="2035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376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企业法定代表人</w:t>
            </w:r>
          </w:p>
        </w:tc>
        <w:tc>
          <w:tcPr>
            <w:tcW w:w="2410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法人代表电话</w:t>
            </w:r>
          </w:p>
        </w:tc>
        <w:tc>
          <w:tcPr>
            <w:tcW w:w="2035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376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联系人/职务</w:t>
            </w:r>
          </w:p>
        </w:tc>
        <w:tc>
          <w:tcPr>
            <w:tcW w:w="2410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联系人电话</w:t>
            </w:r>
          </w:p>
        </w:tc>
        <w:tc>
          <w:tcPr>
            <w:tcW w:w="2035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376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电子邮件</w:t>
            </w:r>
          </w:p>
        </w:tc>
        <w:tc>
          <w:tcPr>
            <w:tcW w:w="2410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传   真</w:t>
            </w:r>
          </w:p>
        </w:tc>
        <w:tc>
          <w:tcPr>
            <w:tcW w:w="2035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522" w:type="dxa"/>
            <w:gridSpan w:val="4"/>
            <w:tcBorders>
              <w:top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b/>
                <w:color w:val="000000"/>
                <w:kern w:val="0"/>
                <w:sz w:val="24"/>
              </w:rPr>
              <w:t>二、第三方</w:t>
            </w:r>
            <w:r>
              <w:rPr>
                <w:rFonts w:ascii="仿宋_GB2312" w:hAnsi="仿宋" w:eastAsia="仿宋_GB2312" w:cs="Times New Roman"/>
                <w:b/>
                <w:color w:val="000000"/>
                <w:kern w:val="0"/>
                <w:sz w:val="24"/>
              </w:rPr>
              <w:t>机构信息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376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第三方机构名称</w:t>
            </w:r>
          </w:p>
        </w:tc>
        <w:tc>
          <w:tcPr>
            <w:tcW w:w="6146" w:type="dxa"/>
            <w:gridSpan w:val="3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376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第三方机构地址</w:t>
            </w:r>
          </w:p>
        </w:tc>
        <w:tc>
          <w:tcPr>
            <w:tcW w:w="6146" w:type="dxa"/>
            <w:gridSpan w:val="3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376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机构法定代表人</w:t>
            </w:r>
          </w:p>
        </w:tc>
        <w:tc>
          <w:tcPr>
            <w:tcW w:w="2410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法人代表电话</w:t>
            </w:r>
          </w:p>
        </w:tc>
        <w:tc>
          <w:tcPr>
            <w:tcW w:w="2035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376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机构联系人</w:t>
            </w:r>
          </w:p>
        </w:tc>
        <w:tc>
          <w:tcPr>
            <w:tcW w:w="2410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联系人电话</w:t>
            </w:r>
          </w:p>
        </w:tc>
        <w:tc>
          <w:tcPr>
            <w:tcW w:w="2035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376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报告编制人</w:t>
            </w:r>
          </w:p>
        </w:tc>
        <w:tc>
          <w:tcPr>
            <w:tcW w:w="2410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编制人电话</w:t>
            </w:r>
          </w:p>
        </w:tc>
        <w:tc>
          <w:tcPr>
            <w:tcW w:w="2035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376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报告审核人</w:t>
            </w:r>
          </w:p>
        </w:tc>
        <w:tc>
          <w:tcPr>
            <w:tcW w:w="2410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审核人电话</w:t>
            </w:r>
          </w:p>
        </w:tc>
        <w:tc>
          <w:tcPr>
            <w:tcW w:w="2035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522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b/>
                <w:color w:val="000000"/>
                <w:kern w:val="0"/>
                <w:sz w:val="24"/>
              </w:rPr>
              <w:t>三、绿色供应链管理企业评价结果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376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基本要求</w:t>
            </w:r>
          </w:p>
        </w:tc>
        <w:tc>
          <w:tcPr>
            <w:tcW w:w="2410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□符合  □不符合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近三年平均</w:t>
            </w:r>
          </w:p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得分</w:t>
            </w:r>
          </w:p>
        </w:tc>
        <w:tc>
          <w:tcPr>
            <w:tcW w:w="2035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376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近三年得分情况</w:t>
            </w:r>
          </w:p>
        </w:tc>
        <w:tc>
          <w:tcPr>
            <w:tcW w:w="2410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第1年</w:t>
            </w:r>
          </w:p>
        </w:tc>
        <w:tc>
          <w:tcPr>
            <w:tcW w:w="3736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376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2410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第2年</w:t>
            </w:r>
          </w:p>
        </w:tc>
        <w:tc>
          <w:tcPr>
            <w:tcW w:w="3736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376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2410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第3年</w:t>
            </w:r>
          </w:p>
        </w:tc>
        <w:tc>
          <w:tcPr>
            <w:tcW w:w="3736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22" w:type="dxa"/>
            <w:gridSpan w:val="4"/>
            <w:vAlign w:val="center"/>
          </w:tcPr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本机构承诺</w:t>
            </w: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  <w:lang w:eastAsia="zh-CN"/>
              </w:rPr>
              <w:t>：</w:t>
            </w: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已对申请单位材料进行了全面审核，材料真实有效，第三方评价程序规范完整，结论客观公正。评价报告若存在弄虚作假，本机构愿承担责任。</w:t>
            </w:r>
          </w:p>
          <w:p>
            <w:pPr>
              <w:widowControl/>
              <w:wordWrap w:val="0"/>
              <w:spacing w:line="360" w:lineRule="auto"/>
              <w:ind w:right="240"/>
              <w:jc w:val="right"/>
              <w:rPr>
                <w:rFonts w:ascii="仿宋_GB2312" w:hAnsi="仿宋" w:eastAsia="仿宋_GB2312" w:cs="Times New Roman"/>
                <w:b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spacing w:line="360" w:lineRule="auto"/>
              <w:ind w:right="240"/>
              <w:jc w:val="right"/>
              <w:rPr>
                <w:rFonts w:ascii="仿宋_GB2312" w:hAnsi="仿宋" w:eastAsia="仿宋_GB2312" w:cs="Times New Roman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b/>
                <w:color w:val="000000"/>
                <w:kern w:val="0"/>
                <w:sz w:val="24"/>
              </w:rPr>
              <w:t xml:space="preserve">负责人签字：         </w:t>
            </w:r>
            <w:r>
              <w:rPr>
                <w:rFonts w:ascii="仿宋_GB2312" w:hAnsi="仿宋" w:eastAsia="仿宋_GB2312" w:cs="Times New Roman"/>
                <w:b/>
                <w:color w:val="000000"/>
                <w:kern w:val="0"/>
                <w:sz w:val="24"/>
              </w:rPr>
              <w:t xml:space="preserve">   </w:t>
            </w:r>
          </w:p>
          <w:p>
            <w:pPr>
              <w:widowControl/>
              <w:wordWrap w:val="0"/>
              <w:spacing w:line="360" w:lineRule="auto"/>
              <w:ind w:right="482"/>
              <w:jc w:val="righ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b/>
                <w:color w:val="000000"/>
                <w:kern w:val="0"/>
                <w:sz w:val="24"/>
              </w:rPr>
              <w:t>（单位公章）</w:t>
            </w: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 xml:space="preserve">     </w:t>
            </w:r>
            <w:r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  <w:t xml:space="preserve"> </w:t>
            </w:r>
          </w:p>
          <w:p>
            <w:pPr>
              <w:widowControl/>
              <w:spacing w:line="360" w:lineRule="auto"/>
              <w:ind w:right="482"/>
              <w:jc w:val="righ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</w:tr>
    </w:tbl>
    <w:p>
      <w:pPr>
        <w:jc w:val="center"/>
        <w:rPr>
          <w:rFonts w:ascii="黑体" w:hAnsi="黑体" w:eastAsia="黑体"/>
          <w:bCs/>
          <w:sz w:val="44"/>
          <w:szCs w:val="44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spacing w:after="156" w:afterLines="50" w:line="360" w:lineRule="auto"/>
        <w:jc w:val="center"/>
        <w:rPr>
          <w:rFonts w:ascii="黑体" w:hAnsi="黑体" w:eastAsia="黑体"/>
          <w:bCs/>
          <w:sz w:val="30"/>
          <w:szCs w:val="30"/>
        </w:rPr>
      </w:pPr>
      <w:r>
        <w:rPr>
          <w:rFonts w:hint="eastAsia" w:ascii="黑体" w:hAnsi="黑体" w:eastAsia="黑体"/>
          <w:bCs/>
          <w:sz w:val="30"/>
          <w:szCs w:val="30"/>
        </w:rPr>
        <w:t>石油和化工行业绿色供应链管理企业</w:t>
      </w:r>
      <w:r>
        <w:rPr>
          <w:rFonts w:ascii="黑体" w:hAnsi="黑体" w:eastAsia="黑体"/>
          <w:bCs/>
          <w:sz w:val="30"/>
          <w:szCs w:val="30"/>
        </w:rPr>
        <w:t>一般</w:t>
      </w:r>
      <w:r>
        <w:rPr>
          <w:rFonts w:hint="eastAsia" w:ascii="黑体" w:hAnsi="黑体" w:eastAsia="黑体"/>
          <w:bCs/>
          <w:sz w:val="30"/>
          <w:szCs w:val="30"/>
        </w:rPr>
        <w:t>要求符合性评价表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9"/>
        <w:gridCol w:w="2217"/>
        <w:gridCol w:w="20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421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 w:cs="Times New Roman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/>
                <w:kern w:val="0"/>
                <w:sz w:val="28"/>
                <w:szCs w:val="28"/>
              </w:rPr>
              <w:t>一般要求</w:t>
            </w:r>
          </w:p>
        </w:tc>
        <w:tc>
          <w:tcPr>
            <w:tcW w:w="221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 w:cs="Times New Roman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/>
                <w:kern w:val="0"/>
                <w:sz w:val="28"/>
                <w:szCs w:val="28"/>
              </w:rPr>
              <w:t>是否符合</w:t>
            </w:r>
          </w:p>
        </w:tc>
        <w:tc>
          <w:tcPr>
            <w:tcW w:w="208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 w:cs="Times New Roman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/>
                <w:kern w:val="0"/>
                <w:sz w:val="28"/>
                <w:szCs w:val="28"/>
              </w:rPr>
              <w:t>证明材料索引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219" w:type="dxa"/>
            <w:vAlign w:val="center"/>
          </w:tcPr>
          <w:p>
            <w:pPr>
              <w:adjustRightInd w:val="0"/>
              <w:snapToGrid w:val="0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>具有独立法人资格。</w:t>
            </w:r>
          </w:p>
        </w:tc>
        <w:tc>
          <w:tcPr>
            <w:tcW w:w="2217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086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219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0"/>
                <w:sz w:val="24"/>
                <w:szCs w:val="24"/>
              </w:rPr>
              <w:t>具有较强的行业影响力。</w:t>
            </w:r>
          </w:p>
        </w:tc>
        <w:tc>
          <w:tcPr>
            <w:tcW w:w="2217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086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4219" w:type="dxa"/>
            <w:vAlign w:val="center"/>
          </w:tcPr>
          <w:p>
            <w:pPr>
              <w:adjustRightInd w:val="0"/>
              <w:snapToGrid w:val="0"/>
              <w:rPr>
                <w:rFonts w:ascii="仿宋_GB2312" w:hAnsi="Times New Roman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0"/>
                <w:sz w:val="24"/>
                <w:szCs w:val="24"/>
              </w:rPr>
              <w:t>具有较完善的能源资源、环境管理体系，各项管理制度健全，符合国家和地方的法律法规及标准规范要求，近三年无重大安全和环境污染事故。</w:t>
            </w:r>
          </w:p>
        </w:tc>
        <w:tc>
          <w:tcPr>
            <w:tcW w:w="2217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086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4219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Times New Roman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0"/>
                <w:sz w:val="24"/>
                <w:szCs w:val="24"/>
              </w:rPr>
              <w:t>拥有数量众多的供应商，在供应商中有很强的影响力，与上下游供应商建立良好的合作关系。</w:t>
            </w:r>
          </w:p>
        </w:tc>
        <w:tc>
          <w:tcPr>
            <w:tcW w:w="2217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086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4219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Times New Roman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0"/>
                <w:sz w:val="24"/>
                <w:szCs w:val="24"/>
              </w:rPr>
              <w:t>有完善的供应商管理体系，建立健全的供应商认证、选择、审核、绩效管理和退出机制。</w:t>
            </w:r>
          </w:p>
        </w:tc>
        <w:tc>
          <w:tcPr>
            <w:tcW w:w="2217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086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4219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Times New Roman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0"/>
                <w:sz w:val="24"/>
                <w:szCs w:val="24"/>
              </w:rPr>
              <w:t>有健全的财务管理制度，销售盈利能力处于行业领先水平。</w:t>
            </w:r>
          </w:p>
        </w:tc>
        <w:tc>
          <w:tcPr>
            <w:tcW w:w="2217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086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4219" w:type="dxa"/>
            <w:vAlign w:val="center"/>
          </w:tcPr>
          <w:p>
            <w:pPr>
              <w:adjustRightInd w:val="0"/>
              <w:snapToGrid w:val="0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>对实施绿色供应链管理有明确的工作目标、思路、计划和措施。</w:t>
            </w:r>
          </w:p>
        </w:tc>
        <w:tc>
          <w:tcPr>
            <w:tcW w:w="2217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086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</w:tbl>
    <w:p>
      <w:pPr>
        <w:spacing w:line="360" w:lineRule="auto"/>
        <w:jc w:val="center"/>
        <w:rPr>
          <w:rFonts w:ascii="方正小标宋简体" w:eastAsia="方正小标宋简体"/>
          <w:bCs/>
          <w:sz w:val="44"/>
          <w:szCs w:val="44"/>
        </w:rPr>
      </w:pPr>
    </w:p>
    <w:p>
      <w:pPr>
        <w:widowControl/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ascii="方正小标宋简体" w:eastAsia="方正小标宋简体"/>
          <w:bCs/>
          <w:sz w:val="44"/>
          <w:szCs w:val="44"/>
        </w:rPr>
        <w:br w:type="page"/>
      </w:r>
      <w:r>
        <w:rPr>
          <w:rFonts w:hint="eastAsia" w:ascii="黑体" w:hAnsi="黑体" w:eastAsia="黑体"/>
          <w:bCs/>
          <w:sz w:val="32"/>
          <w:szCs w:val="32"/>
        </w:rPr>
        <w:t>石油和化工行业绿色供应链管理企业评价指标体系</w:t>
      </w:r>
    </w:p>
    <w:p>
      <w:pPr>
        <w:autoSpaceDE w:val="0"/>
        <w:autoSpaceDN w:val="0"/>
        <w:adjustRightInd w:val="0"/>
        <w:jc w:val="center"/>
        <w:rPr>
          <w:rFonts w:ascii="仿宋_GB2312" w:eastAsia="仿宋_GB2312" w:cs="仿宋_GB2312"/>
          <w:b/>
          <w:kern w:val="0"/>
          <w:sz w:val="30"/>
          <w:szCs w:val="30"/>
        </w:rPr>
      </w:pPr>
      <w:r>
        <w:rPr>
          <w:rFonts w:hint="eastAsia" w:ascii="仿宋_GB2312" w:eastAsia="仿宋_GB2312" w:cs="仿宋_GB2312"/>
          <w:b/>
          <w:kern w:val="0"/>
          <w:sz w:val="30"/>
          <w:szCs w:val="30"/>
        </w:rPr>
        <w:t>（20  年）</w:t>
      </w:r>
    </w:p>
    <w:tbl>
      <w:tblPr>
        <w:tblStyle w:val="7"/>
        <w:tblW w:w="99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728"/>
        <w:gridCol w:w="3601"/>
        <w:gridCol w:w="719"/>
        <w:gridCol w:w="840"/>
        <w:gridCol w:w="855"/>
        <w:gridCol w:w="20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一级指标</w:t>
            </w: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序号</w:t>
            </w:r>
          </w:p>
        </w:tc>
        <w:tc>
          <w:tcPr>
            <w:tcW w:w="360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二级指标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单位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最高分值</w:t>
            </w: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得分</w:t>
            </w:r>
          </w:p>
        </w:tc>
        <w:tc>
          <w:tcPr>
            <w:tcW w:w="205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符合性说明及证明材料索引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绿色供应链管理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战略X1</w:t>
            </w: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纳入公司发展规划X11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-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8</w:t>
            </w: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05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制定绿色供应链管理目标X12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-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6</w:t>
            </w: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05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设置专门管理机构X13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-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6</w:t>
            </w: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05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实施绿色供应商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管理X2</w:t>
            </w: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绿色采购标准制度完善X21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-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05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供应商认证体系完善X22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-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05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6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对供应商定期审核X23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-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05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7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供应商绩效评估制度健全X24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-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05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8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定期对供应商进行培训X25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-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05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9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低风险供应商占比X26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%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05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绿色生产X3</w:t>
            </w: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10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节能减排环保合规X31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-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10</w:t>
            </w: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05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  <w:jc w:val="center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11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符合有害物质限制使用管理办法X32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-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10</w:t>
            </w: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05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绿色回收X4</w:t>
            </w: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12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产品回收率X41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%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05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13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包装回收率X42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%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05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14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回收体系完善（含自建、与第三方联合回收）X43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-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05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15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指导下游企业回收拆解X44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-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05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18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绿色信息平台建设X5</w:t>
            </w: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16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绿色供应链管理信息平台完善X51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-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10</w:t>
            </w: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05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180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绿色信息披露X6</w:t>
            </w: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17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披露企业节能减排减碳信息X61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-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2.5</w:t>
            </w: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05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18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披露高、中风险供应商审核率及低风险供应商占比X62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-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2.5</w:t>
            </w: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05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19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披露供应商节能减排信息X63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-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2.5</w:t>
            </w: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05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20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发布企业社会责任报告（含绿色采购信息）X64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-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2.5</w:t>
            </w: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05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tabs>
          <w:tab w:val="center" w:pos="4153"/>
        </w:tabs>
        <w:jc w:val="left"/>
        <w:rPr>
          <w:rFonts w:ascii="仿宋_GB2312" w:eastAsia="仿宋_GB2312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snapToGrid w:val="0"/>
        <w:spacing w:line="480" w:lineRule="auto"/>
        <w:jc w:val="center"/>
        <w:outlineLvl w:val="0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石油和化工行业绿色供应链</w:t>
      </w:r>
      <w:bookmarkStart w:id="0" w:name="_GoBack"/>
      <w:bookmarkEnd w:id="0"/>
      <w:r>
        <w:rPr>
          <w:rFonts w:hint="eastAsia" w:ascii="黑体" w:hAnsi="黑体" w:eastAsia="黑体"/>
          <w:bCs/>
          <w:color w:val="000000"/>
          <w:sz w:val="36"/>
          <w:szCs w:val="36"/>
        </w:rPr>
        <w:t>管理企业评价报告（格式）</w:t>
      </w:r>
    </w:p>
    <w:p>
      <w:pPr>
        <w:spacing w:line="480" w:lineRule="exact"/>
        <w:ind w:firstLine="600" w:firstLineChars="200"/>
        <w:rPr>
          <w:rFonts w:ascii="黑体" w:hAnsi="黑体" w:eastAsia="黑体"/>
          <w:bCs/>
          <w:sz w:val="30"/>
          <w:szCs w:val="30"/>
        </w:rPr>
      </w:pPr>
      <w:r>
        <w:rPr>
          <w:rFonts w:hint="eastAsia" w:ascii="黑体" w:hAnsi="黑体" w:eastAsia="黑体"/>
          <w:bCs/>
          <w:sz w:val="30"/>
          <w:szCs w:val="30"/>
        </w:rPr>
        <w:t>一、概述</w:t>
      </w:r>
    </w:p>
    <w:p>
      <w:pPr>
        <w:spacing w:line="48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主要介绍企业绿色供应链管理评价的目的、依据及被评价企业的基本情况等内容。</w:t>
      </w:r>
    </w:p>
    <w:p>
      <w:pPr>
        <w:spacing w:line="480" w:lineRule="exact"/>
        <w:ind w:firstLine="600" w:firstLineChars="200"/>
        <w:rPr>
          <w:rFonts w:ascii="黑体" w:hAnsi="黑体" w:eastAsia="黑体"/>
          <w:bCs/>
          <w:sz w:val="30"/>
          <w:szCs w:val="30"/>
        </w:rPr>
      </w:pPr>
      <w:r>
        <w:rPr>
          <w:rFonts w:hint="eastAsia" w:ascii="黑体" w:hAnsi="黑体" w:eastAsia="黑体"/>
          <w:bCs/>
          <w:sz w:val="30"/>
          <w:szCs w:val="30"/>
        </w:rPr>
        <w:t>二、评价过程</w:t>
      </w:r>
    </w:p>
    <w:p>
      <w:pPr>
        <w:spacing w:line="48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主要介绍评价工作安排、评价人员组成、文件资料评价情况、现场评价情况、数据收集及可靠性评估、报告编写及评价结论复核等内容。</w:t>
      </w:r>
    </w:p>
    <w:p>
      <w:pPr>
        <w:spacing w:line="480" w:lineRule="exact"/>
        <w:ind w:firstLine="600" w:firstLineChars="200"/>
        <w:rPr>
          <w:rFonts w:ascii="黑体" w:hAnsi="黑体" w:eastAsia="黑体"/>
          <w:bCs/>
          <w:sz w:val="30"/>
          <w:szCs w:val="30"/>
        </w:rPr>
      </w:pPr>
      <w:r>
        <w:rPr>
          <w:rFonts w:hint="eastAsia" w:ascii="黑体" w:hAnsi="黑体" w:eastAsia="黑体"/>
          <w:bCs/>
          <w:sz w:val="30"/>
          <w:szCs w:val="30"/>
        </w:rPr>
        <w:t>三、评价内容</w:t>
      </w:r>
    </w:p>
    <w:p>
      <w:pPr>
        <w:spacing w:line="480" w:lineRule="exact"/>
        <w:ind w:firstLine="600" w:firstLineChars="200"/>
        <w:rPr>
          <w:rFonts w:ascii="仿宋_GB2312" w:eastAsia="仿宋_GB2312"/>
          <w:sz w:val="30"/>
          <w:szCs w:val="30"/>
          <w:highlight w:val="yellow"/>
        </w:rPr>
      </w:pPr>
      <w:r>
        <w:rPr>
          <w:rFonts w:hint="eastAsia" w:ascii="仿宋_GB2312" w:eastAsia="仿宋_GB2312"/>
          <w:sz w:val="30"/>
          <w:szCs w:val="30"/>
        </w:rPr>
        <w:t>对照绿色供应链管理评价要求，</w:t>
      </w:r>
      <w:r>
        <w:rPr>
          <w:rFonts w:ascii="仿宋_GB2312" w:eastAsia="仿宋_GB2312"/>
          <w:sz w:val="30"/>
          <w:szCs w:val="30"/>
        </w:rPr>
        <w:t>对申报</w:t>
      </w:r>
      <w:r>
        <w:rPr>
          <w:rFonts w:hint="eastAsia" w:ascii="仿宋_GB2312" w:eastAsia="仿宋_GB2312"/>
          <w:sz w:val="30"/>
          <w:szCs w:val="30"/>
        </w:rPr>
        <w:t>企业</w:t>
      </w:r>
      <w:r>
        <w:rPr>
          <w:rFonts w:ascii="仿宋_GB2312" w:eastAsia="仿宋_GB2312"/>
          <w:sz w:val="30"/>
          <w:szCs w:val="30"/>
        </w:rPr>
        <w:t>的</w:t>
      </w:r>
      <w:r>
        <w:rPr>
          <w:rFonts w:hint="eastAsia" w:ascii="仿宋_GB2312" w:eastAsia="仿宋_GB2312"/>
          <w:sz w:val="30"/>
          <w:szCs w:val="30"/>
        </w:rPr>
        <w:t>绿色供应链管理关键环节进行评价，包括确立可持续的绿色供应链管理战略、实施绿色供应商管理、强化绿色生产、建设绿色回收体系、搭建绿色信息收集监测披露平台。</w:t>
      </w:r>
    </w:p>
    <w:p>
      <w:pPr>
        <w:spacing w:line="480" w:lineRule="exact"/>
        <w:ind w:firstLine="600" w:firstLineChars="200"/>
        <w:rPr>
          <w:rFonts w:ascii="黑体" w:hAnsi="黑体" w:eastAsia="黑体"/>
          <w:bCs/>
          <w:sz w:val="30"/>
          <w:szCs w:val="30"/>
        </w:rPr>
      </w:pPr>
      <w:r>
        <w:rPr>
          <w:rFonts w:hint="eastAsia" w:ascii="黑体" w:hAnsi="黑体" w:eastAsia="黑体"/>
          <w:bCs/>
          <w:sz w:val="30"/>
          <w:szCs w:val="30"/>
        </w:rPr>
        <w:t>四、评价结论</w:t>
      </w:r>
    </w:p>
    <w:p>
      <w:pPr>
        <w:spacing w:line="48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对申报企业绿色供应链管理评价指标体系的各指标打分后，计算出绿色供应链管理指数，得出评价结论，说明绿色供应链建设各环节中，主要做法、经验、亮点及突出优势等。</w:t>
      </w:r>
    </w:p>
    <w:p>
      <w:pPr>
        <w:spacing w:line="480" w:lineRule="exact"/>
        <w:ind w:firstLine="600" w:firstLineChars="200"/>
        <w:rPr>
          <w:rFonts w:ascii="黑体" w:hAnsi="黑体" w:eastAsia="黑体"/>
          <w:bCs/>
          <w:sz w:val="30"/>
          <w:szCs w:val="30"/>
        </w:rPr>
      </w:pPr>
      <w:r>
        <w:rPr>
          <w:rFonts w:hint="eastAsia" w:ascii="黑体" w:hAnsi="黑体" w:eastAsia="黑体"/>
          <w:bCs/>
          <w:sz w:val="30"/>
          <w:szCs w:val="30"/>
        </w:rPr>
        <w:t>五、建议</w:t>
      </w:r>
    </w:p>
    <w:p>
      <w:pPr>
        <w:spacing w:line="48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对企业绿色供应链建设中存在的问题，下一步工作提出建议。</w:t>
      </w:r>
    </w:p>
    <w:p>
      <w:pPr>
        <w:spacing w:line="480" w:lineRule="exact"/>
        <w:ind w:firstLine="600" w:firstLineChars="200"/>
        <w:rPr>
          <w:rFonts w:ascii="黑体" w:hAnsi="黑体" w:eastAsia="黑体"/>
          <w:bCs/>
          <w:sz w:val="30"/>
          <w:szCs w:val="30"/>
        </w:rPr>
      </w:pPr>
      <w:r>
        <w:rPr>
          <w:rFonts w:hint="eastAsia" w:ascii="黑体" w:hAnsi="黑体" w:eastAsia="黑体"/>
          <w:bCs/>
          <w:sz w:val="30"/>
          <w:szCs w:val="30"/>
        </w:rPr>
        <w:t>六、参考文件</w:t>
      </w:r>
    </w:p>
    <w:p>
      <w:pPr>
        <w:spacing w:line="48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列出报告编写过程中所使用的相关参考文件。</w:t>
      </w:r>
    </w:p>
    <w:p>
      <w:pPr>
        <w:spacing w:line="480" w:lineRule="exact"/>
        <w:ind w:firstLine="600" w:firstLineChars="200"/>
        <w:rPr>
          <w:rFonts w:ascii="Times New Roman" w:hAnsi="Times New Roman" w:eastAsia="黑体" w:cs="Times New Roman"/>
          <w:bCs/>
          <w:sz w:val="30"/>
          <w:szCs w:val="30"/>
        </w:rPr>
      </w:pPr>
      <w:r>
        <w:rPr>
          <w:rFonts w:ascii="Times New Roman" w:hAnsi="Times New Roman" w:eastAsia="黑体" w:cs="Times New Roman"/>
          <w:bCs/>
          <w:sz w:val="30"/>
          <w:szCs w:val="30"/>
        </w:rPr>
        <w:t>七、第三方机构资质符合性证明材料</w:t>
      </w:r>
    </w:p>
    <w:p>
      <w:pPr>
        <w:spacing w:line="480" w:lineRule="exact"/>
        <w:ind w:firstLine="600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列出第三方机构满足条件的资质符合性证明材料。</w:t>
      </w:r>
    </w:p>
    <w:p>
      <w:pPr>
        <w:ind w:firstLine="600" w:firstLineChars="200"/>
        <w:rPr>
          <w:rFonts w:ascii="仿宋_GB2312" w:eastAsia="仿宋_GB2312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GY0NWFiZDkzMzMwMGVlZDhiOGMzNjZhN2NiYjA1N2QifQ=="/>
  </w:docVars>
  <w:rsids>
    <w:rsidRoot w:val="201B3F96"/>
    <w:rsid w:val="0001722D"/>
    <w:rsid w:val="00040FD4"/>
    <w:rsid w:val="00046561"/>
    <w:rsid w:val="000678DF"/>
    <w:rsid w:val="00086316"/>
    <w:rsid w:val="000B6DD6"/>
    <w:rsid w:val="000D4244"/>
    <w:rsid w:val="001045A3"/>
    <w:rsid w:val="00170F78"/>
    <w:rsid w:val="00193C00"/>
    <w:rsid w:val="001A60BA"/>
    <w:rsid w:val="001F73A2"/>
    <w:rsid w:val="00295E51"/>
    <w:rsid w:val="002A139A"/>
    <w:rsid w:val="002D6988"/>
    <w:rsid w:val="00311E70"/>
    <w:rsid w:val="00315368"/>
    <w:rsid w:val="003267FE"/>
    <w:rsid w:val="003429C2"/>
    <w:rsid w:val="00350AD2"/>
    <w:rsid w:val="0037239A"/>
    <w:rsid w:val="003835DF"/>
    <w:rsid w:val="00394D01"/>
    <w:rsid w:val="003B05EE"/>
    <w:rsid w:val="003C306D"/>
    <w:rsid w:val="003E1766"/>
    <w:rsid w:val="00492D08"/>
    <w:rsid w:val="004C1F33"/>
    <w:rsid w:val="004C52FB"/>
    <w:rsid w:val="004E038D"/>
    <w:rsid w:val="005072EC"/>
    <w:rsid w:val="005600D5"/>
    <w:rsid w:val="0057187A"/>
    <w:rsid w:val="005A22FB"/>
    <w:rsid w:val="00615AAC"/>
    <w:rsid w:val="006172B8"/>
    <w:rsid w:val="00640AA1"/>
    <w:rsid w:val="00644D49"/>
    <w:rsid w:val="00646474"/>
    <w:rsid w:val="00651918"/>
    <w:rsid w:val="006951B7"/>
    <w:rsid w:val="006A713A"/>
    <w:rsid w:val="007649A6"/>
    <w:rsid w:val="008029F3"/>
    <w:rsid w:val="0081200E"/>
    <w:rsid w:val="00820407"/>
    <w:rsid w:val="00846DC6"/>
    <w:rsid w:val="00850394"/>
    <w:rsid w:val="0085434D"/>
    <w:rsid w:val="0087618F"/>
    <w:rsid w:val="008B4324"/>
    <w:rsid w:val="008C42D8"/>
    <w:rsid w:val="008E3047"/>
    <w:rsid w:val="008F3118"/>
    <w:rsid w:val="008F5D04"/>
    <w:rsid w:val="009662B2"/>
    <w:rsid w:val="009D00FC"/>
    <w:rsid w:val="00A16234"/>
    <w:rsid w:val="00A5308E"/>
    <w:rsid w:val="00A73C74"/>
    <w:rsid w:val="00AE5095"/>
    <w:rsid w:val="00AF0DE8"/>
    <w:rsid w:val="00AF6E17"/>
    <w:rsid w:val="00B2467D"/>
    <w:rsid w:val="00B34955"/>
    <w:rsid w:val="00B479F5"/>
    <w:rsid w:val="00B75F73"/>
    <w:rsid w:val="00B94F32"/>
    <w:rsid w:val="00BD62B3"/>
    <w:rsid w:val="00BE7FB8"/>
    <w:rsid w:val="00C2014D"/>
    <w:rsid w:val="00C2719A"/>
    <w:rsid w:val="00C673B7"/>
    <w:rsid w:val="00C74D41"/>
    <w:rsid w:val="00C96F3E"/>
    <w:rsid w:val="00CD7373"/>
    <w:rsid w:val="00CF0598"/>
    <w:rsid w:val="00D06CB0"/>
    <w:rsid w:val="00D2208B"/>
    <w:rsid w:val="00D557E3"/>
    <w:rsid w:val="00D6076F"/>
    <w:rsid w:val="00D977E0"/>
    <w:rsid w:val="00DA39C3"/>
    <w:rsid w:val="00DA5293"/>
    <w:rsid w:val="00DC1812"/>
    <w:rsid w:val="00DC28BD"/>
    <w:rsid w:val="00E10E51"/>
    <w:rsid w:val="00E15E28"/>
    <w:rsid w:val="00E211FA"/>
    <w:rsid w:val="00E23E9E"/>
    <w:rsid w:val="00E67EF4"/>
    <w:rsid w:val="00E8721C"/>
    <w:rsid w:val="00E91142"/>
    <w:rsid w:val="00EE1B18"/>
    <w:rsid w:val="00F15329"/>
    <w:rsid w:val="00F1729F"/>
    <w:rsid w:val="00F83FA9"/>
    <w:rsid w:val="00F97E09"/>
    <w:rsid w:val="00FA062A"/>
    <w:rsid w:val="01B62F5C"/>
    <w:rsid w:val="01E2112A"/>
    <w:rsid w:val="03AA3456"/>
    <w:rsid w:val="03AD5615"/>
    <w:rsid w:val="04A80D30"/>
    <w:rsid w:val="055F62E0"/>
    <w:rsid w:val="07965F00"/>
    <w:rsid w:val="087245E9"/>
    <w:rsid w:val="093A4A60"/>
    <w:rsid w:val="0A600591"/>
    <w:rsid w:val="0B366A9A"/>
    <w:rsid w:val="0B6E6550"/>
    <w:rsid w:val="0C476233"/>
    <w:rsid w:val="0C583F4F"/>
    <w:rsid w:val="0D01626E"/>
    <w:rsid w:val="0DC73E42"/>
    <w:rsid w:val="0EA30247"/>
    <w:rsid w:val="10C26313"/>
    <w:rsid w:val="1124702B"/>
    <w:rsid w:val="121037B1"/>
    <w:rsid w:val="12943D8A"/>
    <w:rsid w:val="13F50625"/>
    <w:rsid w:val="150B2214"/>
    <w:rsid w:val="15861B5E"/>
    <w:rsid w:val="158E49EC"/>
    <w:rsid w:val="15D00CD9"/>
    <w:rsid w:val="17D0041E"/>
    <w:rsid w:val="18104A8B"/>
    <w:rsid w:val="18453C60"/>
    <w:rsid w:val="18AE7E0C"/>
    <w:rsid w:val="1940737B"/>
    <w:rsid w:val="1A95222B"/>
    <w:rsid w:val="1CCB06A8"/>
    <w:rsid w:val="1D274763"/>
    <w:rsid w:val="1D433149"/>
    <w:rsid w:val="1E376452"/>
    <w:rsid w:val="1E9A4645"/>
    <w:rsid w:val="1F0E6B82"/>
    <w:rsid w:val="201B3F96"/>
    <w:rsid w:val="202366CA"/>
    <w:rsid w:val="21290176"/>
    <w:rsid w:val="22ED32DA"/>
    <w:rsid w:val="23CF16CE"/>
    <w:rsid w:val="25C96F0A"/>
    <w:rsid w:val="264D41D9"/>
    <w:rsid w:val="26C40427"/>
    <w:rsid w:val="26DE0FD1"/>
    <w:rsid w:val="28F64EC4"/>
    <w:rsid w:val="29A504DF"/>
    <w:rsid w:val="2C5348C6"/>
    <w:rsid w:val="2CF96358"/>
    <w:rsid w:val="2D275BA3"/>
    <w:rsid w:val="2E560813"/>
    <w:rsid w:val="2E985269"/>
    <w:rsid w:val="2EB85157"/>
    <w:rsid w:val="2F750C6B"/>
    <w:rsid w:val="30625CB2"/>
    <w:rsid w:val="30802422"/>
    <w:rsid w:val="31740993"/>
    <w:rsid w:val="31AF4AA2"/>
    <w:rsid w:val="31CA113F"/>
    <w:rsid w:val="32B165D9"/>
    <w:rsid w:val="33417001"/>
    <w:rsid w:val="33C521FE"/>
    <w:rsid w:val="33CD1809"/>
    <w:rsid w:val="371428EB"/>
    <w:rsid w:val="37CF521C"/>
    <w:rsid w:val="37D02C9E"/>
    <w:rsid w:val="37EE5AD1"/>
    <w:rsid w:val="380E0584"/>
    <w:rsid w:val="39764653"/>
    <w:rsid w:val="3A786430"/>
    <w:rsid w:val="3A8F731E"/>
    <w:rsid w:val="3B9A4359"/>
    <w:rsid w:val="3BD266B1"/>
    <w:rsid w:val="3C173922"/>
    <w:rsid w:val="3D635153"/>
    <w:rsid w:val="3D6562E5"/>
    <w:rsid w:val="43DF214B"/>
    <w:rsid w:val="442571F4"/>
    <w:rsid w:val="44373D73"/>
    <w:rsid w:val="45E82FB8"/>
    <w:rsid w:val="46315CB6"/>
    <w:rsid w:val="46B92717"/>
    <w:rsid w:val="491834FB"/>
    <w:rsid w:val="49210587"/>
    <w:rsid w:val="492F3120"/>
    <w:rsid w:val="499140BE"/>
    <w:rsid w:val="4A2B0A3A"/>
    <w:rsid w:val="4AC70FBA"/>
    <w:rsid w:val="4BC15658"/>
    <w:rsid w:val="4D27247A"/>
    <w:rsid w:val="4EBD75BF"/>
    <w:rsid w:val="4EF03291"/>
    <w:rsid w:val="506875FB"/>
    <w:rsid w:val="52CC4866"/>
    <w:rsid w:val="551A792E"/>
    <w:rsid w:val="56A80039"/>
    <w:rsid w:val="56FA45C0"/>
    <w:rsid w:val="57117A69"/>
    <w:rsid w:val="582E113A"/>
    <w:rsid w:val="5ABD66B3"/>
    <w:rsid w:val="5AFC7FD4"/>
    <w:rsid w:val="5B705D94"/>
    <w:rsid w:val="5D9E4D24"/>
    <w:rsid w:val="5EF665DA"/>
    <w:rsid w:val="5F0C077E"/>
    <w:rsid w:val="5FE22D60"/>
    <w:rsid w:val="5FF351F8"/>
    <w:rsid w:val="60F019A4"/>
    <w:rsid w:val="61385890"/>
    <w:rsid w:val="61DD7740"/>
    <w:rsid w:val="621A25FF"/>
    <w:rsid w:val="62D6238E"/>
    <w:rsid w:val="6403204B"/>
    <w:rsid w:val="647460FE"/>
    <w:rsid w:val="648065F1"/>
    <w:rsid w:val="65F32C4F"/>
    <w:rsid w:val="667D6C57"/>
    <w:rsid w:val="6783782F"/>
    <w:rsid w:val="67E77C07"/>
    <w:rsid w:val="689C6431"/>
    <w:rsid w:val="68D11D83"/>
    <w:rsid w:val="68E42FA2"/>
    <w:rsid w:val="6A000277"/>
    <w:rsid w:val="6ACF35D8"/>
    <w:rsid w:val="6C404029"/>
    <w:rsid w:val="6CCA0AF9"/>
    <w:rsid w:val="6CF616CC"/>
    <w:rsid w:val="6D67188D"/>
    <w:rsid w:val="6DE17ED2"/>
    <w:rsid w:val="6DF523F6"/>
    <w:rsid w:val="6DFD3F7F"/>
    <w:rsid w:val="6F8D3411"/>
    <w:rsid w:val="6FCB457A"/>
    <w:rsid w:val="70136EED"/>
    <w:rsid w:val="70473EC4"/>
    <w:rsid w:val="708539A9"/>
    <w:rsid w:val="709177BB"/>
    <w:rsid w:val="716F71A9"/>
    <w:rsid w:val="726915C0"/>
    <w:rsid w:val="738D3920"/>
    <w:rsid w:val="73D8631E"/>
    <w:rsid w:val="73E26C2E"/>
    <w:rsid w:val="74096AED"/>
    <w:rsid w:val="741F0C91"/>
    <w:rsid w:val="75681F2D"/>
    <w:rsid w:val="767A306F"/>
    <w:rsid w:val="772D6395"/>
    <w:rsid w:val="773B1E28"/>
    <w:rsid w:val="77F47058"/>
    <w:rsid w:val="77FE53E9"/>
    <w:rsid w:val="79FC31DA"/>
    <w:rsid w:val="7AA678C6"/>
    <w:rsid w:val="7B186900"/>
    <w:rsid w:val="7B5754EB"/>
    <w:rsid w:val="7BFB2776"/>
    <w:rsid w:val="7D5C1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  <o:rules v:ext="edit">
        <o:r id="V:Rule1" type="connector" idref="#Straight Connector 5"/>
        <o:r id="V:Rule2" type="connector" idref="#Straight Connector 6"/>
        <o:r id="V:Rule3" type="connector" idref="#Straight Connector 8"/>
        <o:r id="V:Rule4" type="connector" idref="#Straight Connector 9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7"/>
    <w:qFormat/>
    <w:uiPriority w:val="0"/>
    <w:pPr>
      <w:jc w:val="left"/>
    </w:pPr>
    <w:rPr>
      <w:rFonts w:cs="Times New Roman"/>
    </w:rPr>
  </w:style>
  <w:style w:type="paragraph" w:styleId="3">
    <w:name w:val="Balloon Text"/>
    <w:basedOn w:val="1"/>
    <w:link w:val="15"/>
    <w:qFormat/>
    <w:uiPriority w:val="0"/>
    <w:rPr>
      <w:rFonts w:ascii="Times New Roman" w:hAnsi="Times New Roman" w:cs="Times New Roman"/>
      <w:sz w:val="18"/>
      <w:szCs w:val="18"/>
    </w:rPr>
  </w:style>
  <w:style w:type="paragraph" w:styleId="4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sz w:val="18"/>
      <w:szCs w:val="18"/>
    </w:rPr>
  </w:style>
  <w:style w:type="paragraph" w:styleId="5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paragraph" w:styleId="6">
    <w:name w:val="annotation subject"/>
    <w:basedOn w:val="2"/>
    <w:next w:val="2"/>
    <w:link w:val="18"/>
    <w:qFormat/>
    <w:uiPriority w:val="0"/>
    <w:rPr>
      <w:b/>
      <w:bCs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qFormat/>
    <w:uiPriority w:val="0"/>
    <w:rPr>
      <w:color w:val="0000FF"/>
      <w:u w:val="single"/>
    </w:rPr>
  </w:style>
  <w:style w:type="character" w:styleId="11">
    <w:name w:val="annotation reference"/>
    <w:qFormat/>
    <w:uiPriority w:val="0"/>
    <w:rPr>
      <w:sz w:val="21"/>
      <w:szCs w:val="21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</w:style>
  <w:style w:type="paragraph" w:customStyle="1" w:styleId="13">
    <w:name w:val="列出段落2"/>
    <w:basedOn w:val="1"/>
    <w:qFormat/>
    <w:uiPriority w:val="99"/>
    <w:pPr>
      <w:ind w:firstLine="420" w:firstLineChars="200"/>
    </w:pPr>
  </w:style>
  <w:style w:type="character" w:customStyle="1" w:styleId="14">
    <w:name w:val="页脚 字符"/>
    <w:link w:val="4"/>
    <w:qFormat/>
    <w:uiPriority w:val="99"/>
    <w:rPr>
      <w:kern w:val="2"/>
      <w:sz w:val="18"/>
      <w:szCs w:val="18"/>
    </w:rPr>
  </w:style>
  <w:style w:type="character" w:customStyle="1" w:styleId="15">
    <w:name w:val="批注框文本 字符"/>
    <w:link w:val="3"/>
    <w:qFormat/>
    <w:uiPriority w:val="0"/>
    <w:rPr>
      <w:kern w:val="2"/>
      <w:sz w:val="18"/>
      <w:szCs w:val="18"/>
    </w:rPr>
  </w:style>
  <w:style w:type="character" w:customStyle="1" w:styleId="16">
    <w:name w:val="页眉 字符"/>
    <w:link w:val="5"/>
    <w:qFormat/>
    <w:uiPriority w:val="0"/>
    <w:rPr>
      <w:rFonts w:ascii="Calibri" w:hAnsi="Calibri" w:cs="黑体"/>
      <w:kern w:val="2"/>
      <w:sz w:val="18"/>
      <w:szCs w:val="18"/>
    </w:rPr>
  </w:style>
  <w:style w:type="character" w:customStyle="1" w:styleId="17">
    <w:name w:val="批注文字 字符"/>
    <w:link w:val="2"/>
    <w:qFormat/>
    <w:uiPriority w:val="0"/>
    <w:rPr>
      <w:rFonts w:ascii="Calibri" w:hAnsi="Calibri" w:cs="黑体"/>
      <w:kern w:val="2"/>
      <w:sz w:val="21"/>
      <w:szCs w:val="22"/>
    </w:rPr>
  </w:style>
  <w:style w:type="character" w:customStyle="1" w:styleId="18">
    <w:name w:val="批注主题 字符"/>
    <w:link w:val="6"/>
    <w:qFormat/>
    <w:uiPriority w:val="0"/>
    <w:rPr>
      <w:rFonts w:ascii="Calibri" w:hAnsi="Calibri" w:cs="黑体"/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7"/>
    <customShpInfo spid="_x0000_s1028"/>
    <customShpInfo spid="_x0000_s1031"/>
    <customShpInfo spid="_x0000_s103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1939</Words>
  <Characters>2031</Characters>
  <Lines>20</Lines>
  <Paragraphs>5</Paragraphs>
  <TotalTime>105</TotalTime>
  <ScaleCrop>false</ScaleCrop>
  <LinksUpToDate>false</LinksUpToDate>
  <CharactersWithSpaces>2374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2017-01-23T07:04:00Z</dcterms:created>
  <dc:creator>admin</dc:creator>
  <cp:lastModifiedBy>bobo_</cp:lastModifiedBy>
  <cp:lastPrinted>2019-05-29T08:26:00Z</cp:lastPrinted>
  <dcterms:modified xsi:type="dcterms:W3CDTF">2022-07-22T01:30:14Z</dcterms:modified>
  <dc:title>附件1  绿色工厂试点申报材料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532AE44E701D47BDA63188D2F28F9A12</vt:lpwstr>
  </property>
</Properties>
</file>