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left="318" w:right="647" w:firstLine="0"/>
        <w:jc w:val="left"/>
        <w:rPr>
          <w:rFonts w:ascii="Malgun Gothic" w:hAnsi="Malgun Gothic" w:eastAsia="Malgun Gothic" w:cs="Malgun Gothic"/>
          <w:sz w:val="28"/>
          <w:szCs w:val="28"/>
        </w:rPr>
      </w:pPr>
      <w:r>
        <w:rPr>
          <w:rFonts w:ascii="Malgun Gothic" w:hAnsi="Malgun Gothic" w:eastAsia="Malgun Gothic" w:cs="Malgun Gothic"/>
          <w:b/>
          <w:bCs/>
          <w:sz w:val="28"/>
          <w:szCs w:val="28"/>
        </w:rPr>
        <w:t>附件：</w:t>
      </w:r>
    </w:p>
    <w:p>
      <w:pPr>
        <w:spacing w:before="71" w:line="304" w:lineRule="auto"/>
        <w:ind w:left="3572" w:right="647" w:hanging="2650"/>
        <w:jc w:val="left"/>
        <w:rPr>
          <w:rFonts w:ascii="宋体" w:hAnsi="宋体" w:eastAsia="宋体" w:cs="宋体"/>
          <w:sz w:val="36"/>
          <w:szCs w:val="36"/>
        </w:rPr>
      </w:pPr>
      <w:r>
        <w:pict>
          <v:shape id="_x0000_s1030" o:spid="_x0000_s1030" o:spt="202" type="#_x0000_t202" style="position:absolute;left:0pt;margin-left:60.8pt;margin-top:60.55pt;height:274.2pt;width:473.9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none" w:color="auto" w:sz="4" w:space="0"/>
                      <w:insideV w:val="non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6"/>
                    <w:gridCol w:w="2678"/>
                    <w:gridCol w:w="2681"/>
                    <w:gridCol w:w="2678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none" w:color="auto" w:sz="4" w:space="0"/>
                        <w:insideV w:val="non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8" w:hRule="exact"/>
                    </w:trPr>
                    <w:tc>
                      <w:tcPr>
                        <w:tcW w:w="1426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66" w:line="240" w:lineRule="auto"/>
                          <w:ind w:left="146" w:right="0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8038" w:type="dxa"/>
                        <w:gridSpan w:val="3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none" w:color="auto" w:sz="4" w:space="0"/>
                        <w:insideV w:val="non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6" w:hRule="exact"/>
                    </w:trPr>
                    <w:tc>
                      <w:tcPr>
                        <w:tcW w:w="1426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27"/>
                          </w:tabs>
                          <w:spacing w:before="43" w:line="360" w:lineRule="exact"/>
                          <w:ind w:left="187" w:right="105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参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会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人 信</w:t>
                        </w:r>
                        <w:r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息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center"/>
                          <w:rPr>
                            <w:rFonts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center"/>
                          <w:rPr>
                            <w:rFonts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4" w:right="0"/>
                          <w:jc w:val="center"/>
                          <w:rPr>
                            <w:rFonts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none" w:color="auto" w:sz="4" w:space="0"/>
                        <w:insideV w:val="non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6" w:hRule="exact"/>
                    </w:trPr>
                    <w:tc>
                      <w:tcPr>
                        <w:tcW w:w="1426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27"/>
                          </w:tabs>
                          <w:spacing w:before="184" w:line="240" w:lineRule="auto"/>
                          <w:ind w:left="187" w:right="0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姓</w:t>
                        </w:r>
                        <w:r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名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8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none" w:color="auto" w:sz="4" w:space="0"/>
                        <w:insideV w:val="non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6" w:hRule="exact"/>
                    </w:trPr>
                    <w:tc>
                      <w:tcPr>
                        <w:tcW w:w="1426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27"/>
                          </w:tabs>
                          <w:spacing w:before="184" w:line="240" w:lineRule="auto"/>
                          <w:ind w:left="187" w:right="0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部</w:t>
                        </w:r>
                        <w:r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门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8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none" w:color="auto" w:sz="4" w:space="0"/>
                        <w:insideV w:val="non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6" w:hRule="exact"/>
                    </w:trPr>
                    <w:tc>
                      <w:tcPr>
                        <w:tcW w:w="1426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27"/>
                          </w:tabs>
                          <w:spacing w:before="184" w:line="240" w:lineRule="auto"/>
                          <w:ind w:left="187" w:right="0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职</w:t>
                        </w:r>
                        <w:r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务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8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none" w:color="auto" w:sz="4" w:space="0"/>
                        <w:insideV w:val="non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6" w:hRule="exact"/>
                    </w:trPr>
                    <w:tc>
                      <w:tcPr>
                        <w:tcW w:w="1426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27"/>
                          </w:tabs>
                          <w:spacing w:before="184" w:line="240" w:lineRule="auto"/>
                          <w:ind w:left="187" w:right="0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手</w:t>
                        </w:r>
                        <w:r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机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8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none" w:color="auto" w:sz="4" w:space="0"/>
                        <w:insideV w:val="non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6" w:hRule="exact"/>
                    </w:trPr>
                    <w:tc>
                      <w:tcPr>
                        <w:tcW w:w="1426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84" w:line="240" w:lineRule="auto"/>
                          <w:ind w:left="328" w:right="0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/>
                            <w:spacing w:val="1"/>
                            <w:w w:val="100"/>
                            <w:sz w:val="28"/>
                          </w:rPr>
                          <w:t>E</w:t>
                        </w:r>
                        <w:r>
                          <w:rPr>
                            <w:rFonts w:ascii="黑体"/>
                            <w:spacing w:val="-2"/>
                            <w:w w:val="100"/>
                            <w:sz w:val="28"/>
                          </w:rPr>
                          <w:t>-m</w:t>
                        </w:r>
                        <w:r>
                          <w:rPr>
                            <w:rFonts w:ascii="黑体"/>
                            <w:spacing w:val="1"/>
                            <w:w w:val="100"/>
                            <w:sz w:val="28"/>
                          </w:rPr>
                          <w:t>a</w:t>
                        </w:r>
                        <w:r>
                          <w:rPr>
                            <w:rFonts w:ascii="黑体"/>
                            <w:spacing w:val="-2"/>
                            <w:w w:val="100"/>
                            <w:sz w:val="28"/>
                          </w:rPr>
                          <w:t>il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81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rFonts w:ascii="宋体" w:hAnsi="宋体" w:eastAsia="宋体" w:cs="宋体"/>
          <w:spacing w:val="-21"/>
          <w:sz w:val="36"/>
          <w:szCs w:val="36"/>
        </w:rPr>
        <w:t>石化和化工企业环境责任信息披露</w:t>
      </w:r>
      <w:bookmarkStart w:id="0" w:name="_GoBack"/>
      <w:bookmarkEnd w:id="0"/>
      <w:r>
        <w:rPr>
          <w:rFonts w:ascii="宋体" w:hAnsi="宋体" w:eastAsia="宋体" w:cs="宋体"/>
          <w:spacing w:val="-21"/>
          <w:sz w:val="36"/>
          <w:szCs w:val="36"/>
        </w:rPr>
        <w:t>政策及标准宣贯会</w:t>
      </w:r>
      <w:r>
        <w:rPr>
          <w:rFonts w:ascii="宋体" w:hAnsi="宋体" w:eastAsia="宋体" w:cs="宋体"/>
          <w:spacing w:val="-169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>参 会 回 执</w:t>
      </w:r>
      <w:r>
        <w:rPr>
          <w:rFonts w:ascii="宋体" w:hAnsi="宋体" w:eastAsia="宋体" w:cs="宋体"/>
          <w:spacing w:val="-1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>表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14" w:line="408" w:lineRule="auto"/>
        <w:ind w:left="1297" w:right="0" w:hanging="98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注：1、请参会代表填好回执表，并于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日前发送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word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版格式电子邮</w:t>
      </w:r>
      <w:r>
        <w:rPr>
          <w:rFonts w:ascii="宋体" w:hAnsi="宋体" w:eastAsia="宋体" w:cs="宋体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件至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fldChar w:fldCharType="begin"/>
      </w:r>
      <w:r>
        <w:instrText xml:space="preserve"> HYPERLINK "mailto:hb_cpcif@163.com" \h </w:instrText>
      </w:r>
      <w:r>
        <w:fldChar w:fldCharType="separate"/>
      </w:r>
      <w:r>
        <w:rPr>
          <w:rFonts w:ascii="宋体" w:hAnsi="宋体" w:eastAsia="宋体" w:cs="宋体"/>
          <w:sz w:val="28"/>
          <w:szCs w:val="28"/>
        </w:rPr>
        <w:t>hb_cpcif@163.com</w:t>
      </w:r>
      <w:r>
        <w:rPr>
          <w:rFonts w:ascii="宋体" w:hAnsi="宋体" w:eastAsia="宋体" w:cs="宋体"/>
          <w:sz w:val="28"/>
          <w:szCs w:val="28"/>
        </w:rPr>
        <w:fldChar w:fldCharType="end"/>
      </w:r>
      <w:r>
        <w:rPr>
          <w:rFonts w:ascii="宋体" w:hAnsi="宋体" w:eastAsia="宋体" w:cs="宋体"/>
          <w:sz w:val="28"/>
          <w:szCs w:val="28"/>
        </w:rPr>
        <w:t>，以便会议安排。</w:t>
      </w:r>
    </w:p>
    <w:p>
      <w:pPr>
        <w:spacing w:before="61"/>
        <w:ind w:left="877" w:right="64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2、联系人：孙丰阁，13501349802</w:t>
      </w:r>
    </w:p>
    <w:p>
      <w:pPr>
        <w:spacing w:before="9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before="0"/>
        <w:ind w:left="2418" w:right="64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崔智博，18813056913</w:t>
      </w:r>
    </w:p>
    <w:p>
      <w:pPr>
        <w:spacing w:before="9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before="0"/>
        <w:ind w:left="877" w:right="64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3、会议时间：2022</w:t>
      </w:r>
      <w:r>
        <w:rPr>
          <w:rFonts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29</w:t>
      </w:r>
      <w:r>
        <w:rPr>
          <w:rFonts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9:00-17:00</w:t>
      </w:r>
    </w:p>
    <w:p>
      <w:pPr>
        <w:spacing w:before="9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before="0"/>
        <w:ind w:left="878" w:right="64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4、腾讯会议号将发送到企业联系人邮箱</w:t>
      </w:r>
    </w:p>
    <w:sectPr>
      <w:footerReference r:id="rId5" w:type="default"/>
      <w:pgSz w:w="11910" w:h="16840"/>
      <w:pgMar w:top="1580" w:right="1100" w:bottom="1320" w:left="1100" w:header="0" w:footer="11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3.3pt;margin-top:774.75pt;height:18.1pt;width:8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8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A813ACA"/>
    <w:rsid w:val="67775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91"/>
      <w:outlineLvl w:val="1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6"/>
      <w:ind w:left="718"/>
    </w:pPr>
    <w:rPr>
      <w:rFonts w:ascii="宋体" w:hAnsi="宋体" w:eastAsia="宋体"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2022-02-28T14:24:00Z</dcterms:created>
  <dc:creator>18813</dc:creator>
  <cp:lastModifiedBy>崔智博</cp:lastModifiedBy>
  <dcterms:modified xsi:type="dcterms:W3CDTF">2022-02-28T06:28:32Z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5700B54F827C4EDBBD562E8D1A18DC0A</vt:lpwstr>
  </property>
</Properties>
</file>